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25A1" w14:textId="77777777" w:rsidR="00041F40" w:rsidRPr="00B944EB" w:rsidRDefault="00041F40" w:rsidP="00041F40">
      <w:r>
        <w:rPr>
          <w:noProof/>
        </w:rPr>
        <mc:AlternateContent>
          <mc:Choice Requires="wps">
            <w:drawing>
              <wp:anchor distT="0" distB="0" distL="114300" distR="114300" simplePos="0" relativeHeight="251659264" behindDoc="0" locked="0" layoutInCell="1" allowOverlap="1" wp14:anchorId="003379D5" wp14:editId="51D585B1">
                <wp:simplePos x="0" y="0"/>
                <wp:positionH relativeFrom="page">
                  <wp:posOffset>0</wp:posOffset>
                </wp:positionH>
                <wp:positionV relativeFrom="paragraph">
                  <wp:posOffset>-908050</wp:posOffset>
                </wp:positionV>
                <wp:extent cx="2159635" cy="11414125"/>
                <wp:effectExtent l="0" t="0" r="0" b="0"/>
                <wp:wrapNone/>
                <wp:docPr id="1" name="Téglalap 1"/>
                <wp:cNvGraphicFramePr/>
                <a:graphic xmlns:a="http://schemas.openxmlformats.org/drawingml/2006/main">
                  <a:graphicData uri="http://schemas.microsoft.com/office/word/2010/wordprocessingShape">
                    <wps:wsp>
                      <wps:cNvSpPr/>
                      <wps:spPr>
                        <a:xfrm>
                          <a:off x="0" y="0"/>
                          <a:ext cx="2159635" cy="11414125"/>
                        </a:xfrm>
                        <a:prstGeom prst="rect">
                          <a:avLst/>
                        </a:prstGeom>
                        <a:solidFill>
                          <a:srgbClr val="0A21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D2538" id="Téglalap 1" o:spid="_x0000_s1026" style="position:absolute;margin-left:0;margin-top:-71.5pt;width:170.05pt;height:8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" fillcolor="#0a2146" stroked="f" strokeweight="2pt">
                <w10:wrap anchorx="page"/>
              </v:rect>
            </w:pict>
          </mc:Fallback>
        </mc:AlternateContent>
      </w:r>
      <w:r>
        <w:rPr>
          <w:noProof/>
        </w:rPr>
        <mc:AlternateContent>
          <mc:Choice Requires="wps">
            <w:drawing>
              <wp:anchor distT="45720" distB="45720" distL="114300" distR="114300" simplePos="0" relativeHeight="251664384" behindDoc="0" locked="0" layoutInCell="1" allowOverlap="1" wp14:anchorId="0776C2AE" wp14:editId="721733DF">
                <wp:simplePos x="0" y="0"/>
                <wp:positionH relativeFrom="column">
                  <wp:posOffset>3968750</wp:posOffset>
                </wp:positionH>
                <wp:positionV relativeFrom="paragraph">
                  <wp:posOffset>7745730</wp:posOffset>
                </wp:positionV>
                <wp:extent cx="2360930" cy="1404620"/>
                <wp:effectExtent l="0" t="0" r="0" b="6985"/>
                <wp:wrapSquare wrapText="bothSides"/>
                <wp:docPr id="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F6E5794" w14:textId="77777777" w:rsidR="00041F40" w:rsidRPr="002D0F0F" w:rsidRDefault="00041F40" w:rsidP="00041F40">
                            <w:pPr>
                              <w:spacing w:after="0" w:line="240" w:lineRule="auto"/>
                              <w:jc w:val="right"/>
                              <w:rPr>
                                <w:color w:val="0A2146"/>
                                <w:sz w:val="58"/>
                                <w:szCs w:val="58"/>
                              </w:rPr>
                            </w:pPr>
                            <w:r w:rsidRPr="002D0F0F">
                              <w:rPr>
                                <w:color w:val="0A2146"/>
                                <w:sz w:val="58"/>
                                <w:szCs w:val="58"/>
                              </w:rPr>
                              <w:t>20</w:t>
                            </w:r>
                            <w:r>
                              <w:rPr>
                                <w:color w:val="0A2146"/>
                                <w:sz w:val="58"/>
                                <w:szCs w:val="58"/>
                              </w:rPr>
                              <w:t>22</w:t>
                            </w:r>
                          </w:p>
                          <w:p w14:paraId="7722BCE7" w14:textId="7BBA4312" w:rsidR="00041F40" w:rsidRPr="009A5001" w:rsidRDefault="00041F40" w:rsidP="00041F40">
                            <w:pPr>
                              <w:jc w:val="right"/>
                              <w:rPr>
                                <w:rFonts w:cstheme="minorHAnsi"/>
                                <w:spacing w:val="20"/>
                                <w:sz w:val="24"/>
                                <w:szCs w:val="24"/>
                              </w:rPr>
                            </w:pPr>
                            <w:r>
                              <w:rPr>
                                <w:rFonts w:cstheme="minorHAnsi"/>
                                <w:spacing w:val="20"/>
                                <w:sz w:val="24"/>
                                <w:szCs w:val="24"/>
                              </w:rPr>
                              <w:t>AU</w:t>
                            </w:r>
                            <w:r w:rsidR="00A304D5">
                              <w:rPr>
                                <w:rFonts w:cstheme="minorHAnsi"/>
                                <w:spacing w:val="20"/>
                                <w:sz w:val="24"/>
                                <w:szCs w:val="24"/>
                              </w:rPr>
                              <w:t>GU</w:t>
                            </w:r>
                            <w:r>
                              <w:rPr>
                                <w:rFonts w:cstheme="minorHAnsi"/>
                                <w:spacing w:val="20"/>
                                <w:sz w:val="24"/>
                                <w:szCs w:val="24"/>
                              </w:rPr>
                              <w:t>SZTUS</w:t>
                            </w:r>
                            <w:r w:rsidRPr="009A5001">
                              <w:rPr>
                                <w:rFonts w:cstheme="minorHAnsi"/>
                                <w:spacing w:val="20"/>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76C2AE" id="_x0000_t202" coordsize="21600,21600" o:spt="202" path="m,l,21600r21600,l21600,xe">
                <v:stroke joinstyle="miter"/>
                <v:path gradientshapeok="t" o:connecttype="rect"/>
              </v:shapetype>
              <v:shape id="Szövegdoboz 2" o:spid="_x0000_s1026" type="#_x0000_t202" style="position:absolute;left:0;text-align:left;margin-left:312.5pt;margin-top:609.9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" stroked="f">
                <v:textbox style="mso-fit-shape-to-text:t">
                  <w:txbxContent>
                    <w:p w14:paraId="6F6E5794" w14:textId="77777777" w:rsidR="00041F40" w:rsidRPr="002D0F0F" w:rsidRDefault="00041F40" w:rsidP="00041F40">
                      <w:pPr>
                        <w:spacing w:after="0" w:line="240" w:lineRule="auto"/>
                        <w:jc w:val="right"/>
                        <w:rPr>
                          <w:color w:val="0A2146"/>
                          <w:sz w:val="58"/>
                          <w:szCs w:val="58"/>
                        </w:rPr>
                      </w:pPr>
                      <w:r w:rsidRPr="002D0F0F">
                        <w:rPr>
                          <w:color w:val="0A2146"/>
                          <w:sz w:val="58"/>
                          <w:szCs w:val="58"/>
                        </w:rPr>
                        <w:t>20</w:t>
                      </w:r>
                      <w:r>
                        <w:rPr>
                          <w:color w:val="0A2146"/>
                          <w:sz w:val="58"/>
                          <w:szCs w:val="58"/>
                        </w:rPr>
                        <w:t>22</w:t>
                      </w:r>
                    </w:p>
                    <w:p w14:paraId="7722BCE7" w14:textId="7BBA4312" w:rsidR="00041F40" w:rsidRPr="009A5001" w:rsidRDefault="00041F40" w:rsidP="00041F40">
                      <w:pPr>
                        <w:jc w:val="right"/>
                        <w:rPr>
                          <w:rFonts w:cstheme="minorHAnsi"/>
                          <w:spacing w:val="20"/>
                          <w:sz w:val="24"/>
                          <w:szCs w:val="24"/>
                        </w:rPr>
                      </w:pPr>
                      <w:r>
                        <w:rPr>
                          <w:rFonts w:cstheme="minorHAnsi"/>
                          <w:spacing w:val="20"/>
                          <w:sz w:val="24"/>
                          <w:szCs w:val="24"/>
                        </w:rPr>
                        <w:t>AU</w:t>
                      </w:r>
                      <w:r w:rsidR="00A304D5">
                        <w:rPr>
                          <w:rFonts w:cstheme="minorHAnsi"/>
                          <w:spacing w:val="20"/>
                          <w:sz w:val="24"/>
                          <w:szCs w:val="24"/>
                        </w:rPr>
                        <w:t>GU</w:t>
                      </w:r>
                      <w:r>
                        <w:rPr>
                          <w:rFonts w:cstheme="minorHAnsi"/>
                          <w:spacing w:val="20"/>
                          <w:sz w:val="24"/>
                          <w:szCs w:val="24"/>
                        </w:rPr>
                        <w:t>SZTUS</w:t>
                      </w:r>
                      <w:r w:rsidRPr="009A5001">
                        <w:rPr>
                          <w:rFonts w:cstheme="minorHAnsi"/>
                          <w:spacing w:val="20"/>
                          <w:sz w:val="24"/>
                          <w:szCs w:val="24"/>
                        </w:rPr>
                        <w:t xml:space="preserve"> </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7F2DE7B8" wp14:editId="1F1F8BD6">
                <wp:simplePos x="0" y="0"/>
                <wp:positionH relativeFrom="column">
                  <wp:posOffset>3059430</wp:posOffset>
                </wp:positionH>
                <wp:positionV relativeFrom="bottomMargin">
                  <wp:posOffset>-1824990</wp:posOffset>
                </wp:positionV>
                <wp:extent cx="3354705" cy="1404620"/>
                <wp:effectExtent l="0" t="0" r="0" b="0"/>
                <wp:wrapSquare wrapText="bothSides"/>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404620"/>
                        </a:xfrm>
                        <a:prstGeom prst="rect">
                          <a:avLst/>
                        </a:prstGeom>
                        <a:solidFill>
                          <a:srgbClr val="FFFFFF"/>
                        </a:solidFill>
                        <a:ln w="9525">
                          <a:noFill/>
                          <a:miter lim="800000"/>
                          <a:headEnd/>
                          <a:tailEnd/>
                        </a:ln>
                      </wps:spPr>
                      <wps:txbx>
                        <w:txbxContent>
                          <w:p w14:paraId="7D489702" w14:textId="77777777" w:rsidR="00041F40" w:rsidRPr="00CB789B" w:rsidRDefault="00041F40" w:rsidP="00041F40">
                            <w:pPr>
                              <w:jc w:val="right"/>
                              <w:rPr>
                                <w:color w:val="0A2146"/>
                                <w:sz w:val="30"/>
                                <w:szCs w:val="3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DE7B8" id="_x0000_s1027" type="#_x0000_t202" style="position:absolute;left:0;text-align:left;margin-left:240.9pt;margin-top:-143.7pt;width:264.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" stroked="f">
                <v:textbox style="mso-fit-shape-to-text:t">
                  <w:txbxContent>
                    <w:p w14:paraId="7D489702" w14:textId="77777777" w:rsidR="00041F40" w:rsidRPr="00CB789B" w:rsidRDefault="00041F40" w:rsidP="00041F40">
                      <w:pPr>
                        <w:jc w:val="right"/>
                        <w:rPr>
                          <w:color w:val="0A2146"/>
                          <w:sz w:val="30"/>
                          <w:szCs w:val="30"/>
                        </w:rPr>
                      </w:pPr>
                    </w:p>
                  </w:txbxContent>
                </v:textbox>
                <w10:wrap type="square" anchory="margin"/>
              </v:shape>
            </w:pict>
          </mc:Fallback>
        </mc:AlternateContent>
      </w:r>
      <w:r>
        <w:rPr>
          <w:noProof/>
        </w:rPr>
        <mc:AlternateContent>
          <mc:Choice Requires="wps">
            <w:drawing>
              <wp:anchor distT="45720" distB="45720" distL="114300" distR="114300" simplePos="0" relativeHeight="251661312" behindDoc="0" locked="0" layoutInCell="1" allowOverlap="1" wp14:anchorId="18444C50" wp14:editId="0F305C0D">
                <wp:simplePos x="0" y="0"/>
                <wp:positionH relativeFrom="column">
                  <wp:posOffset>2657475</wp:posOffset>
                </wp:positionH>
                <wp:positionV relativeFrom="paragraph">
                  <wp:posOffset>1085215</wp:posOffset>
                </wp:positionV>
                <wp:extent cx="3841115" cy="1029335"/>
                <wp:effectExtent l="0" t="0" r="6985"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1029335"/>
                        </a:xfrm>
                        <a:prstGeom prst="rect">
                          <a:avLst/>
                        </a:prstGeom>
                        <a:solidFill>
                          <a:srgbClr val="FFFFFF"/>
                        </a:solidFill>
                        <a:ln w="9525">
                          <a:noFill/>
                          <a:miter lim="800000"/>
                          <a:headEnd/>
                          <a:tailEnd/>
                        </a:ln>
                      </wps:spPr>
                      <wps:txbx>
                        <w:txbxContent>
                          <w:p w14:paraId="074DC135" w14:textId="77777777" w:rsidR="00041F40" w:rsidRPr="00CB789B" w:rsidRDefault="00041F40" w:rsidP="00041F40">
                            <w:pPr>
                              <w:jc w:val="center"/>
                              <w:rPr>
                                <w:rFonts w:asciiTheme="majorHAnsi" w:hAnsiTheme="majorHAnsi" w:cstheme="majorHAnsi"/>
                                <w:caps/>
                                <w:color w:val="0A2146"/>
                                <w:sz w:val="24"/>
                                <w:szCs w:val="24"/>
                              </w:rPr>
                            </w:pPr>
                          </w:p>
                          <w:p w14:paraId="4CF9CD58" w14:textId="77777777" w:rsidR="00041F40" w:rsidRPr="00CB789B" w:rsidRDefault="00041F40" w:rsidP="00041F40">
                            <w:pPr>
                              <w:rPr>
                                <w:color w:val="0A214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4C50" id="_x0000_s1028" type="#_x0000_t202" style="position:absolute;left:0;text-align:left;margin-left:209.25pt;margin-top:85.45pt;width:302.45pt;height:8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" stroked="f">
                <v:textbox>
                  <w:txbxContent>
                    <w:p w14:paraId="074DC135" w14:textId="77777777" w:rsidR="00041F40" w:rsidRPr="00CB789B" w:rsidRDefault="00041F40" w:rsidP="00041F40">
                      <w:pPr>
                        <w:jc w:val="center"/>
                        <w:rPr>
                          <w:rFonts w:asciiTheme="majorHAnsi" w:hAnsiTheme="majorHAnsi" w:cstheme="majorHAnsi"/>
                          <w:caps/>
                          <w:color w:val="0A2146"/>
                          <w:sz w:val="24"/>
                          <w:szCs w:val="24"/>
                        </w:rPr>
                      </w:pPr>
                    </w:p>
                    <w:p w14:paraId="4CF9CD58" w14:textId="77777777" w:rsidR="00041F40" w:rsidRPr="00CB789B" w:rsidRDefault="00041F40" w:rsidP="00041F40">
                      <w:pPr>
                        <w:rPr>
                          <w:color w:val="0A2146"/>
                        </w:rPr>
                      </w:pPr>
                    </w:p>
                  </w:txbxContent>
                </v:textbox>
                <w10:wrap type="square"/>
              </v:shape>
            </w:pict>
          </mc:Fallback>
        </mc:AlternateContent>
      </w:r>
      <w:r>
        <w:rPr>
          <w:noProof/>
        </w:rPr>
        <w:drawing>
          <wp:anchor distT="0" distB="0" distL="114300" distR="114300" simplePos="0" relativeHeight="251660288" behindDoc="0" locked="0" layoutInCell="1" allowOverlap="1" wp14:anchorId="4D482109" wp14:editId="63282697">
            <wp:simplePos x="0" y="0"/>
            <wp:positionH relativeFrom="column">
              <wp:posOffset>-396240</wp:posOffset>
            </wp:positionH>
            <wp:positionV relativeFrom="paragraph">
              <wp:posOffset>864235</wp:posOffset>
            </wp:positionV>
            <wp:extent cx="1440000" cy="1440000"/>
            <wp:effectExtent l="0" t="0" r="8255" b="825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747269D8" w14:textId="1E29ECA3" w:rsidR="00041F40" w:rsidRDefault="00041F40">
      <w:pPr>
        <w:spacing w:after="0" w:line="240" w:lineRule="auto"/>
        <w:jc w:val="left"/>
        <w:rPr>
          <w:b/>
          <w:color w:val="12316B" w:themeColor="text2" w:themeTint="E6"/>
          <w:sz w:val="28"/>
          <w:szCs w:val="28"/>
        </w:rPr>
      </w:pPr>
      <w:r>
        <w:rPr>
          <w:noProof/>
        </w:rPr>
        <mc:AlternateContent>
          <mc:Choice Requires="wps">
            <w:drawing>
              <wp:anchor distT="45720" distB="45720" distL="114300" distR="114300" simplePos="0" relativeHeight="251662336" behindDoc="0" locked="0" layoutInCell="1" allowOverlap="1" wp14:anchorId="165D6445" wp14:editId="17DC76BF">
                <wp:simplePos x="0" y="0"/>
                <wp:positionH relativeFrom="column">
                  <wp:posOffset>2484095</wp:posOffset>
                </wp:positionH>
                <wp:positionV relativeFrom="paragraph">
                  <wp:posOffset>2856230</wp:posOffset>
                </wp:positionV>
                <wp:extent cx="3699510" cy="1382395"/>
                <wp:effectExtent l="0" t="0" r="0" b="8255"/>
                <wp:wrapSquare wrapText="bothSides"/>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382395"/>
                        </a:xfrm>
                        <a:prstGeom prst="rect">
                          <a:avLst/>
                        </a:prstGeom>
                        <a:solidFill>
                          <a:srgbClr val="FFFFFF"/>
                        </a:solidFill>
                        <a:ln w="9525">
                          <a:noFill/>
                          <a:miter lim="800000"/>
                          <a:headEnd/>
                          <a:tailEnd/>
                        </a:ln>
                      </wps:spPr>
                      <wps:txbx>
                        <w:txbxContent>
                          <w:p w14:paraId="201BD4C1" w14:textId="77777777" w:rsidR="00041F40" w:rsidRPr="00CB789B" w:rsidRDefault="00041F40" w:rsidP="00041F40">
                            <w:pPr>
                              <w:jc w:val="center"/>
                              <w:rPr>
                                <w:color w:val="0A2146"/>
                                <w:sz w:val="50"/>
                                <w:szCs w:val="50"/>
                              </w:rPr>
                            </w:pPr>
                            <w:r w:rsidRPr="00BB5E1D">
                              <w:rPr>
                                <w:color w:val="0A2146"/>
                                <w:sz w:val="50"/>
                                <w:szCs w:val="50"/>
                              </w:rPr>
                              <w:t xml:space="preserve">A MAGYAR NEMZETI BANK </w:t>
                            </w:r>
                            <w:proofErr w:type="spellStart"/>
                            <w:r w:rsidRPr="00BB5E1D">
                              <w:rPr>
                                <w:color w:val="0A2146"/>
                                <w:sz w:val="50"/>
                                <w:szCs w:val="50"/>
                              </w:rPr>
                              <w:t>SZEKTORÁLIS</w:t>
                            </w:r>
                            <w:proofErr w:type="spellEnd"/>
                            <w:r w:rsidRPr="00BB5E1D">
                              <w:rPr>
                                <w:color w:val="0A2146"/>
                                <w:sz w:val="50"/>
                                <w:szCs w:val="50"/>
                              </w:rPr>
                              <w:t xml:space="preserve"> KOCKÁZATÉRTÉKELÉSE</w:t>
                            </w:r>
                          </w:p>
                          <w:p w14:paraId="66BDABAE" w14:textId="77777777" w:rsidR="00041F40" w:rsidRPr="00CB789B" w:rsidRDefault="00041F40" w:rsidP="00041F40">
                            <w:pPr>
                              <w:jc w:val="right"/>
                              <w:rPr>
                                <w:color w:val="0A2146"/>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D6445" id="_x0000_s1029" type="#_x0000_t202" style="position:absolute;margin-left:195.6pt;margin-top:224.9pt;width:291.3pt;height:108.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" stroked="f">
                <v:textbox>
                  <w:txbxContent>
                    <w:p w14:paraId="201BD4C1" w14:textId="77777777" w:rsidR="00041F40" w:rsidRPr="00CB789B" w:rsidRDefault="00041F40" w:rsidP="00041F40">
                      <w:pPr>
                        <w:jc w:val="center"/>
                        <w:rPr>
                          <w:color w:val="0A2146"/>
                          <w:sz w:val="50"/>
                          <w:szCs w:val="50"/>
                        </w:rPr>
                      </w:pPr>
                      <w:r w:rsidRPr="00BB5E1D">
                        <w:rPr>
                          <w:color w:val="0A2146"/>
                          <w:sz w:val="50"/>
                          <w:szCs w:val="50"/>
                        </w:rPr>
                        <w:t xml:space="preserve">A MAGYAR NEMZETI BANK </w:t>
                      </w:r>
                      <w:proofErr w:type="spellStart"/>
                      <w:r w:rsidRPr="00BB5E1D">
                        <w:rPr>
                          <w:color w:val="0A2146"/>
                          <w:sz w:val="50"/>
                          <w:szCs w:val="50"/>
                        </w:rPr>
                        <w:t>SZEKTORÁLIS</w:t>
                      </w:r>
                      <w:proofErr w:type="spellEnd"/>
                      <w:r w:rsidRPr="00BB5E1D">
                        <w:rPr>
                          <w:color w:val="0A2146"/>
                          <w:sz w:val="50"/>
                          <w:szCs w:val="50"/>
                        </w:rPr>
                        <w:t xml:space="preserve"> KOCKÁZATÉRTÉKELÉSE</w:t>
                      </w:r>
                    </w:p>
                    <w:p w14:paraId="66BDABAE" w14:textId="77777777" w:rsidR="00041F40" w:rsidRPr="00CB789B" w:rsidRDefault="00041F40" w:rsidP="00041F40">
                      <w:pPr>
                        <w:jc w:val="right"/>
                        <w:rPr>
                          <w:color w:val="0A2146"/>
                          <w:sz w:val="50"/>
                          <w:szCs w:val="50"/>
                        </w:rPr>
                      </w:pPr>
                    </w:p>
                  </w:txbxContent>
                </v:textbox>
                <w10:wrap type="square"/>
              </v:shape>
            </w:pict>
          </mc:Fallback>
        </mc:AlternateContent>
      </w:r>
      <w:r>
        <w:rPr>
          <w:b/>
          <w:color w:val="12316B" w:themeColor="text2" w:themeTint="E6"/>
          <w:sz w:val="28"/>
          <w:szCs w:val="28"/>
        </w:rPr>
        <w:br w:type="page"/>
      </w:r>
    </w:p>
    <w:sdt>
      <w:sdtPr>
        <w:rPr>
          <w:rFonts w:eastAsiaTheme="minorHAnsi" w:cstheme="minorBidi"/>
          <w:bCs w:val="0"/>
          <w:color w:val="auto"/>
          <w:sz w:val="20"/>
          <w:szCs w:val="20"/>
        </w:rPr>
        <w:id w:val="1260712129"/>
        <w:docPartObj>
          <w:docPartGallery w:val="Table of Contents"/>
          <w:docPartUnique/>
        </w:docPartObj>
      </w:sdtPr>
      <w:sdtEndPr>
        <w:rPr>
          <w:b/>
        </w:rPr>
      </w:sdtEndPr>
      <w:sdtContent>
        <w:p w14:paraId="1A206048" w14:textId="3D273E6A" w:rsidR="00041F40" w:rsidRDefault="00041F40">
          <w:pPr>
            <w:pStyle w:val="Tartalomjegyzkcmsora"/>
          </w:pPr>
          <w:r>
            <w:t>Tartalomjegyzék</w:t>
          </w:r>
        </w:p>
        <w:p w14:paraId="309398FD" w14:textId="1B3BFEB2" w:rsidR="00406EFB" w:rsidRDefault="00041F40">
          <w:pPr>
            <w:pStyle w:val="TJ1"/>
            <w:tabs>
              <w:tab w:val="right" w:leader="dot" w:pos="9514"/>
            </w:tabs>
            <w:rPr>
              <w:rFonts w:asciiTheme="minorHAnsi" w:hAnsiTheme="minorHAnsi"/>
              <w:noProof/>
              <w:sz w:val="22"/>
              <w:szCs w:val="22"/>
            </w:rPr>
          </w:pPr>
          <w:r>
            <w:fldChar w:fldCharType="begin"/>
          </w:r>
          <w:r>
            <w:instrText xml:space="preserve"> TOC \o "1-3" \h \z \u </w:instrText>
          </w:r>
          <w:r>
            <w:fldChar w:fldCharType="separate"/>
          </w:r>
          <w:hyperlink w:anchor="_Toc109906003" w:history="1">
            <w:r w:rsidR="00406EFB" w:rsidRPr="0039194C">
              <w:rPr>
                <w:rStyle w:val="Hiperhivatkozs"/>
                <w:noProof/>
              </w:rPr>
              <w:t>1. Bevezetés</w:t>
            </w:r>
            <w:r w:rsidR="00406EFB">
              <w:rPr>
                <w:noProof/>
                <w:webHidden/>
              </w:rPr>
              <w:tab/>
            </w:r>
            <w:r w:rsidR="00406EFB">
              <w:rPr>
                <w:noProof/>
                <w:webHidden/>
              </w:rPr>
              <w:fldChar w:fldCharType="begin"/>
            </w:r>
            <w:r w:rsidR="00406EFB">
              <w:rPr>
                <w:noProof/>
                <w:webHidden/>
              </w:rPr>
              <w:instrText xml:space="preserve"> PAGEREF _Toc109906003 \h </w:instrText>
            </w:r>
            <w:r w:rsidR="00406EFB">
              <w:rPr>
                <w:noProof/>
                <w:webHidden/>
              </w:rPr>
            </w:r>
            <w:r w:rsidR="00406EFB">
              <w:rPr>
                <w:noProof/>
                <w:webHidden/>
              </w:rPr>
              <w:fldChar w:fldCharType="separate"/>
            </w:r>
            <w:r w:rsidR="00406EFB">
              <w:rPr>
                <w:noProof/>
                <w:webHidden/>
              </w:rPr>
              <w:t>5</w:t>
            </w:r>
            <w:r w:rsidR="00406EFB">
              <w:rPr>
                <w:noProof/>
                <w:webHidden/>
              </w:rPr>
              <w:fldChar w:fldCharType="end"/>
            </w:r>
          </w:hyperlink>
        </w:p>
        <w:p w14:paraId="2960EBDE" w14:textId="794BFC68" w:rsidR="00406EFB" w:rsidRDefault="005A24F5">
          <w:pPr>
            <w:pStyle w:val="TJ1"/>
            <w:tabs>
              <w:tab w:val="right" w:leader="dot" w:pos="9514"/>
            </w:tabs>
            <w:rPr>
              <w:rFonts w:asciiTheme="minorHAnsi" w:hAnsiTheme="minorHAnsi"/>
              <w:noProof/>
              <w:sz w:val="22"/>
              <w:szCs w:val="22"/>
            </w:rPr>
          </w:pPr>
          <w:hyperlink w:anchor="_Toc109906004" w:history="1">
            <w:r w:rsidR="00406EFB" w:rsidRPr="0039194C">
              <w:rPr>
                <w:rStyle w:val="Hiperhivatkozs"/>
                <w:noProof/>
              </w:rPr>
              <w:t>2. A Pandémia és az orosz-ukrán konfliktus hatásai</w:t>
            </w:r>
            <w:r w:rsidR="00406EFB">
              <w:rPr>
                <w:noProof/>
                <w:webHidden/>
              </w:rPr>
              <w:tab/>
            </w:r>
            <w:r w:rsidR="00406EFB">
              <w:rPr>
                <w:noProof/>
                <w:webHidden/>
              </w:rPr>
              <w:fldChar w:fldCharType="begin"/>
            </w:r>
            <w:r w:rsidR="00406EFB">
              <w:rPr>
                <w:noProof/>
                <w:webHidden/>
              </w:rPr>
              <w:instrText xml:space="preserve"> PAGEREF _Toc109906004 \h </w:instrText>
            </w:r>
            <w:r w:rsidR="00406EFB">
              <w:rPr>
                <w:noProof/>
                <w:webHidden/>
              </w:rPr>
            </w:r>
            <w:r w:rsidR="00406EFB">
              <w:rPr>
                <w:noProof/>
                <w:webHidden/>
              </w:rPr>
              <w:fldChar w:fldCharType="separate"/>
            </w:r>
            <w:r w:rsidR="00406EFB">
              <w:rPr>
                <w:noProof/>
                <w:webHidden/>
              </w:rPr>
              <w:t>6</w:t>
            </w:r>
            <w:r w:rsidR="00406EFB">
              <w:rPr>
                <w:noProof/>
                <w:webHidden/>
              </w:rPr>
              <w:fldChar w:fldCharType="end"/>
            </w:r>
          </w:hyperlink>
        </w:p>
        <w:p w14:paraId="064561D8" w14:textId="47D563B2" w:rsidR="00406EFB" w:rsidRDefault="005A24F5">
          <w:pPr>
            <w:pStyle w:val="TJ1"/>
            <w:tabs>
              <w:tab w:val="right" w:leader="dot" w:pos="9514"/>
            </w:tabs>
            <w:rPr>
              <w:rFonts w:asciiTheme="minorHAnsi" w:hAnsiTheme="minorHAnsi"/>
              <w:noProof/>
              <w:sz w:val="22"/>
              <w:szCs w:val="22"/>
            </w:rPr>
          </w:pPr>
          <w:hyperlink w:anchor="_Toc109906005" w:history="1">
            <w:r w:rsidR="00406EFB" w:rsidRPr="0039194C">
              <w:rPr>
                <w:rStyle w:val="Hiperhivatkozs"/>
                <w:noProof/>
              </w:rPr>
              <w:t>3. Kockázatértékelés</w:t>
            </w:r>
            <w:r w:rsidR="00406EFB">
              <w:rPr>
                <w:noProof/>
                <w:webHidden/>
              </w:rPr>
              <w:tab/>
            </w:r>
            <w:r w:rsidR="00406EFB">
              <w:rPr>
                <w:noProof/>
                <w:webHidden/>
              </w:rPr>
              <w:fldChar w:fldCharType="begin"/>
            </w:r>
            <w:r w:rsidR="00406EFB">
              <w:rPr>
                <w:noProof/>
                <w:webHidden/>
              </w:rPr>
              <w:instrText xml:space="preserve"> PAGEREF _Toc109906005 \h </w:instrText>
            </w:r>
            <w:r w:rsidR="00406EFB">
              <w:rPr>
                <w:noProof/>
                <w:webHidden/>
              </w:rPr>
            </w:r>
            <w:r w:rsidR="00406EFB">
              <w:rPr>
                <w:noProof/>
                <w:webHidden/>
              </w:rPr>
              <w:fldChar w:fldCharType="separate"/>
            </w:r>
            <w:r w:rsidR="00406EFB">
              <w:rPr>
                <w:noProof/>
                <w:webHidden/>
              </w:rPr>
              <w:t>7</w:t>
            </w:r>
            <w:r w:rsidR="00406EFB">
              <w:rPr>
                <w:noProof/>
                <w:webHidden/>
              </w:rPr>
              <w:fldChar w:fldCharType="end"/>
            </w:r>
          </w:hyperlink>
        </w:p>
        <w:p w14:paraId="2EC745CE" w14:textId="20B34761" w:rsidR="00406EFB" w:rsidRDefault="005A24F5">
          <w:pPr>
            <w:pStyle w:val="TJ2"/>
            <w:tabs>
              <w:tab w:val="right" w:leader="dot" w:pos="9514"/>
            </w:tabs>
            <w:rPr>
              <w:rFonts w:asciiTheme="minorHAnsi" w:hAnsiTheme="minorHAnsi"/>
              <w:noProof/>
              <w:sz w:val="22"/>
              <w:szCs w:val="22"/>
            </w:rPr>
          </w:pPr>
          <w:hyperlink w:anchor="_Toc109906006" w:history="1">
            <w:r w:rsidR="00406EFB" w:rsidRPr="0039194C">
              <w:rPr>
                <w:rStyle w:val="Hiperhivatkozs"/>
                <w:noProof/>
              </w:rPr>
              <w:t>3.1. Hitelintézeti szektor</w:t>
            </w:r>
            <w:r w:rsidR="00406EFB">
              <w:rPr>
                <w:noProof/>
                <w:webHidden/>
              </w:rPr>
              <w:tab/>
            </w:r>
            <w:r w:rsidR="00406EFB">
              <w:rPr>
                <w:noProof/>
                <w:webHidden/>
              </w:rPr>
              <w:fldChar w:fldCharType="begin"/>
            </w:r>
            <w:r w:rsidR="00406EFB">
              <w:rPr>
                <w:noProof/>
                <w:webHidden/>
              </w:rPr>
              <w:instrText xml:space="preserve"> PAGEREF _Toc109906006 \h </w:instrText>
            </w:r>
            <w:r w:rsidR="00406EFB">
              <w:rPr>
                <w:noProof/>
                <w:webHidden/>
              </w:rPr>
            </w:r>
            <w:r w:rsidR="00406EFB">
              <w:rPr>
                <w:noProof/>
                <w:webHidden/>
              </w:rPr>
              <w:fldChar w:fldCharType="separate"/>
            </w:r>
            <w:r w:rsidR="00406EFB">
              <w:rPr>
                <w:noProof/>
                <w:webHidden/>
              </w:rPr>
              <w:t>7</w:t>
            </w:r>
            <w:r w:rsidR="00406EFB">
              <w:rPr>
                <w:noProof/>
                <w:webHidden/>
              </w:rPr>
              <w:fldChar w:fldCharType="end"/>
            </w:r>
          </w:hyperlink>
        </w:p>
        <w:p w14:paraId="2DCDBB5D" w14:textId="19EEA3FA"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07"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_Toc109906007 \h </w:instrText>
            </w:r>
            <w:r w:rsidR="00406EFB">
              <w:rPr>
                <w:noProof/>
                <w:webHidden/>
              </w:rPr>
            </w:r>
            <w:r w:rsidR="00406EFB">
              <w:rPr>
                <w:noProof/>
                <w:webHidden/>
              </w:rPr>
              <w:fldChar w:fldCharType="separate"/>
            </w:r>
            <w:r w:rsidR="00406EFB">
              <w:rPr>
                <w:noProof/>
                <w:webHidden/>
              </w:rPr>
              <w:t>7</w:t>
            </w:r>
            <w:r w:rsidR="00406EFB">
              <w:rPr>
                <w:noProof/>
                <w:webHidden/>
              </w:rPr>
              <w:fldChar w:fldCharType="end"/>
            </w:r>
          </w:hyperlink>
        </w:p>
        <w:p w14:paraId="4899BC38" w14:textId="3DF34E01"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08"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_Toc109906008 \h </w:instrText>
            </w:r>
            <w:r w:rsidR="00406EFB">
              <w:rPr>
                <w:noProof/>
                <w:webHidden/>
              </w:rPr>
            </w:r>
            <w:r w:rsidR="00406EFB">
              <w:rPr>
                <w:noProof/>
                <w:webHidden/>
              </w:rPr>
              <w:fldChar w:fldCharType="separate"/>
            </w:r>
            <w:r w:rsidR="00406EFB">
              <w:rPr>
                <w:noProof/>
                <w:webHidden/>
              </w:rPr>
              <w:t>7</w:t>
            </w:r>
            <w:r w:rsidR="00406EFB">
              <w:rPr>
                <w:noProof/>
                <w:webHidden/>
              </w:rPr>
              <w:fldChar w:fldCharType="end"/>
            </w:r>
          </w:hyperlink>
        </w:p>
        <w:p w14:paraId="4CD69D97" w14:textId="20FF75C5"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09"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w:t>
            </w:r>
            <w:r w:rsidR="00406EFB">
              <w:rPr>
                <w:noProof/>
                <w:webHidden/>
              </w:rPr>
              <w:tab/>
            </w:r>
            <w:r w:rsidR="00406EFB">
              <w:rPr>
                <w:noProof/>
                <w:webHidden/>
              </w:rPr>
              <w:fldChar w:fldCharType="begin"/>
            </w:r>
            <w:r w:rsidR="00406EFB">
              <w:rPr>
                <w:noProof/>
                <w:webHidden/>
              </w:rPr>
              <w:instrText xml:space="preserve"> PAGEREF _Toc109906009 \h </w:instrText>
            </w:r>
            <w:r w:rsidR="00406EFB">
              <w:rPr>
                <w:noProof/>
                <w:webHidden/>
              </w:rPr>
            </w:r>
            <w:r w:rsidR="00406EFB">
              <w:rPr>
                <w:noProof/>
                <w:webHidden/>
              </w:rPr>
              <w:fldChar w:fldCharType="separate"/>
            </w:r>
            <w:r w:rsidR="00406EFB">
              <w:rPr>
                <w:noProof/>
                <w:webHidden/>
              </w:rPr>
              <w:t>9</w:t>
            </w:r>
            <w:r w:rsidR="00406EFB">
              <w:rPr>
                <w:noProof/>
                <w:webHidden/>
              </w:rPr>
              <w:fldChar w:fldCharType="end"/>
            </w:r>
          </w:hyperlink>
        </w:p>
        <w:p w14:paraId="60687D40" w14:textId="05ECF5A9"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10"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Felügyeleti tevékenység</w:t>
            </w:r>
            <w:r w:rsidR="00406EFB">
              <w:rPr>
                <w:noProof/>
                <w:webHidden/>
              </w:rPr>
              <w:tab/>
            </w:r>
            <w:r w:rsidR="00406EFB">
              <w:rPr>
                <w:noProof/>
                <w:webHidden/>
              </w:rPr>
              <w:fldChar w:fldCharType="begin"/>
            </w:r>
            <w:r w:rsidR="00406EFB">
              <w:rPr>
                <w:noProof/>
                <w:webHidden/>
              </w:rPr>
              <w:instrText xml:space="preserve"> PAGEREF _Toc109906010 \h </w:instrText>
            </w:r>
            <w:r w:rsidR="00406EFB">
              <w:rPr>
                <w:noProof/>
                <w:webHidden/>
              </w:rPr>
            </w:r>
            <w:r w:rsidR="00406EFB">
              <w:rPr>
                <w:noProof/>
                <w:webHidden/>
              </w:rPr>
              <w:fldChar w:fldCharType="separate"/>
            </w:r>
            <w:r w:rsidR="00406EFB">
              <w:rPr>
                <w:noProof/>
                <w:webHidden/>
              </w:rPr>
              <w:t>9</w:t>
            </w:r>
            <w:r w:rsidR="00406EFB">
              <w:rPr>
                <w:noProof/>
                <w:webHidden/>
              </w:rPr>
              <w:fldChar w:fldCharType="end"/>
            </w:r>
          </w:hyperlink>
        </w:p>
        <w:p w14:paraId="2399E076" w14:textId="720BA3FB"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11" w:history="1">
            <w:r w:rsidR="00406EFB" w:rsidRPr="0039194C">
              <w:rPr>
                <w:rStyle w:val="Hiperhivatkozs"/>
                <w:noProof/>
              </w:rPr>
              <w:t>5.</w:t>
            </w:r>
            <w:r w:rsidR="00406EFB">
              <w:rPr>
                <w:rFonts w:asciiTheme="minorHAnsi" w:eastAsiaTheme="minorEastAsia" w:hAnsiTheme="minorHAnsi"/>
                <w:noProof/>
                <w:sz w:val="22"/>
                <w:szCs w:val="22"/>
              </w:rPr>
              <w:tab/>
            </w:r>
            <w:r w:rsidR="00406EFB" w:rsidRPr="0039194C">
              <w:rPr>
                <w:rStyle w:val="Hiperhivatkozs"/>
                <w:noProof/>
              </w:rPr>
              <w:t>Azonosított jogsértések</w:t>
            </w:r>
            <w:r w:rsidR="00406EFB">
              <w:rPr>
                <w:noProof/>
                <w:webHidden/>
              </w:rPr>
              <w:tab/>
            </w:r>
            <w:r w:rsidR="00406EFB">
              <w:rPr>
                <w:noProof/>
                <w:webHidden/>
              </w:rPr>
              <w:fldChar w:fldCharType="begin"/>
            </w:r>
            <w:r w:rsidR="00406EFB">
              <w:rPr>
                <w:noProof/>
                <w:webHidden/>
              </w:rPr>
              <w:instrText xml:space="preserve"> PAGEREF _Toc109906011 \h </w:instrText>
            </w:r>
            <w:r w:rsidR="00406EFB">
              <w:rPr>
                <w:noProof/>
                <w:webHidden/>
              </w:rPr>
            </w:r>
            <w:r w:rsidR="00406EFB">
              <w:rPr>
                <w:noProof/>
                <w:webHidden/>
              </w:rPr>
              <w:fldChar w:fldCharType="separate"/>
            </w:r>
            <w:r w:rsidR="00406EFB">
              <w:rPr>
                <w:noProof/>
                <w:webHidden/>
              </w:rPr>
              <w:t>10</w:t>
            </w:r>
            <w:r w:rsidR="00406EFB">
              <w:rPr>
                <w:noProof/>
                <w:webHidden/>
              </w:rPr>
              <w:fldChar w:fldCharType="end"/>
            </w:r>
          </w:hyperlink>
        </w:p>
        <w:p w14:paraId="6144CB08" w14:textId="1529F128"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12" w:history="1">
            <w:r w:rsidR="00406EFB" w:rsidRPr="0039194C">
              <w:rPr>
                <w:rStyle w:val="Hiperhivatkozs"/>
                <w:noProof/>
              </w:rPr>
              <w:t>6.</w:t>
            </w:r>
            <w:r w:rsidR="00406EFB">
              <w:rPr>
                <w:rFonts w:asciiTheme="minorHAnsi" w:eastAsiaTheme="minorEastAsia" w:hAnsiTheme="minorHAnsi"/>
                <w:noProof/>
                <w:sz w:val="22"/>
                <w:szCs w:val="22"/>
              </w:rPr>
              <w:tab/>
            </w:r>
            <w:r w:rsidR="00406EFB" w:rsidRPr="0039194C">
              <w:rPr>
                <w:rStyle w:val="Hiperhivatkozs"/>
                <w:noProof/>
              </w:rPr>
              <w:t>Alszektorok</w:t>
            </w:r>
            <w:r w:rsidR="00406EFB">
              <w:rPr>
                <w:noProof/>
                <w:webHidden/>
              </w:rPr>
              <w:tab/>
            </w:r>
            <w:r w:rsidR="00406EFB">
              <w:rPr>
                <w:noProof/>
                <w:webHidden/>
              </w:rPr>
              <w:fldChar w:fldCharType="begin"/>
            </w:r>
            <w:r w:rsidR="00406EFB">
              <w:rPr>
                <w:noProof/>
                <w:webHidden/>
              </w:rPr>
              <w:instrText xml:space="preserve"> PAGEREF _Toc109906012 \h </w:instrText>
            </w:r>
            <w:r w:rsidR="00406EFB">
              <w:rPr>
                <w:noProof/>
                <w:webHidden/>
              </w:rPr>
            </w:r>
            <w:r w:rsidR="00406EFB">
              <w:rPr>
                <w:noProof/>
                <w:webHidden/>
              </w:rPr>
              <w:fldChar w:fldCharType="separate"/>
            </w:r>
            <w:r w:rsidR="00406EFB">
              <w:rPr>
                <w:noProof/>
                <w:webHidden/>
              </w:rPr>
              <w:t>10</w:t>
            </w:r>
            <w:r w:rsidR="00406EFB">
              <w:rPr>
                <w:noProof/>
                <w:webHidden/>
              </w:rPr>
              <w:fldChar w:fldCharType="end"/>
            </w:r>
          </w:hyperlink>
        </w:p>
        <w:p w14:paraId="272DECA4" w14:textId="3CF24C85"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13" w:history="1">
            <w:r w:rsidR="00406EFB" w:rsidRPr="0039194C">
              <w:rPr>
                <w:rStyle w:val="Hiperhivatkozs"/>
                <w:noProof/>
              </w:rPr>
              <w:t>7.</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_Toc109906013 \h </w:instrText>
            </w:r>
            <w:r w:rsidR="00406EFB">
              <w:rPr>
                <w:noProof/>
                <w:webHidden/>
              </w:rPr>
            </w:r>
            <w:r w:rsidR="00406EFB">
              <w:rPr>
                <w:noProof/>
                <w:webHidden/>
              </w:rPr>
              <w:fldChar w:fldCharType="separate"/>
            </w:r>
            <w:r w:rsidR="00406EFB">
              <w:rPr>
                <w:noProof/>
                <w:webHidden/>
              </w:rPr>
              <w:t>11</w:t>
            </w:r>
            <w:r w:rsidR="00406EFB">
              <w:rPr>
                <w:noProof/>
                <w:webHidden/>
              </w:rPr>
              <w:fldChar w:fldCharType="end"/>
            </w:r>
          </w:hyperlink>
        </w:p>
        <w:p w14:paraId="27DC1749" w14:textId="7822D15F" w:rsidR="00406EFB" w:rsidRDefault="005A24F5">
          <w:pPr>
            <w:pStyle w:val="TJ2"/>
            <w:tabs>
              <w:tab w:val="right" w:leader="dot" w:pos="9514"/>
            </w:tabs>
            <w:rPr>
              <w:rFonts w:asciiTheme="minorHAnsi" w:hAnsiTheme="minorHAnsi"/>
              <w:noProof/>
              <w:sz w:val="22"/>
              <w:szCs w:val="22"/>
            </w:rPr>
          </w:pPr>
          <w:hyperlink w:anchor="_Toc109906014" w:history="1">
            <w:r w:rsidR="00406EFB" w:rsidRPr="0039194C">
              <w:rPr>
                <w:rStyle w:val="Hiperhivatkozs"/>
                <w:noProof/>
              </w:rPr>
              <w:t>3.2. Pénzforgalmi intézményi szektor</w:t>
            </w:r>
            <w:r w:rsidR="00406EFB">
              <w:rPr>
                <w:noProof/>
                <w:webHidden/>
              </w:rPr>
              <w:tab/>
            </w:r>
            <w:r w:rsidR="00406EFB">
              <w:rPr>
                <w:noProof/>
                <w:webHidden/>
              </w:rPr>
              <w:fldChar w:fldCharType="begin"/>
            </w:r>
            <w:r w:rsidR="00406EFB">
              <w:rPr>
                <w:noProof/>
                <w:webHidden/>
              </w:rPr>
              <w:instrText xml:space="preserve"> PAGEREF _Toc109906014 \h </w:instrText>
            </w:r>
            <w:r w:rsidR="00406EFB">
              <w:rPr>
                <w:noProof/>
                <w:webHidden/>
              </w:rPr>
            </w:r>
            <w:r w:rsidR="00406EFB">
              <w:rPr>
                <w:noProof/>
                <w:webHidden/>
              </w:rPr>
              <w:fldChar w:fldCharType="separate"/>
            </w:r>
            <w:r w:rsidR="00406EFB">
              <w:rPr>
                <w:noProof/>
                <w:webHidden/>
              </w:rPr>
              <w:t>11</w:t>
            </w:r>
            <w:r w:rsidR="00406EFB">
              <w:rPr>
                <w:noProof/>
                <w:webHidden/>
              </w:rPr>
              <w:fldChar w:fldCharType="end"/>
            </w:r>
          </w:hyperlink>
        </w:p>
        <w:p w14:paraId="41761ED7" w14:textId="33DC935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15"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_Toc109906015 \h </w:instrText>
            </w:r>
            <w:r w:rsidR="00406EFB">
              <w:rPr>
                <w:noProof/>
                <w:webHidden/>
              </w:rPr>
            </w:r>
            <w:r w:rsidR="00406EFB">
              <w:rPr>
                <w:noProof/>
                <w:webHidden/>
              </w:rPr>
              <w:fldChar w:fldCharType="separate"/>
            </w:r>
            <w:r w:rsidR="00406EFB">
              <w:rPr>
                <w:noProof/>
                <w:webHidden/>
              </w:rPr>
              <w:t>11</w:t>
            </w:r>
            <w:r w:rsidR="00406EFB">
              <w:rPr>
                <w:noProof/>
                <w:webHidden/>
              </w:rPr>
              <w:fldChar w:fldCharType="end"/>
            </w:r>
          </w:hyperlink>
        </w:p>
        <w:p w14:paraId="6B89F758" w14:textId="73CAFC1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16"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_Toc109906016 \h </w:instrText>
            </w:r>
            <w:r w:rsidR="00406EFB">
              <w:rPr>
                <w:noProof/>
                <w:webHidden/>
              </w:rPr>
            </w:r>
            <w:r w:rsidR="00406EFB">
              <w:rPr>
                <w:noProof/>
                <w:webHidden/>
              </w:rPr>
              <w:fldChar w:fldCharType="separate"/>
            </w:r>
            <w:r w:rsidR="00406EFB">
              <w:rPr>
                <w:noProof/>
                <w:webHidden/>
              </w:rPr>
              <w:t>12</w:t>
            </w:r>
            <w:r w:rsidR="00406EFB">
              <w:rPr>
                <w:noProof/>
                <w:webHidden/>
              </w:rPr>
              <w:fldChar w:fldCharType="end"/>
            </w:r>
          </w:hyperlink>
        </w:p>
        <w:p w14:paraId="26E2D19F" w14:textId="3313EC7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17"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w:t>
            </w:r>
            <w:r w:rsidR="00406EFB">
              <w:rPr>
                <w:noProof/>
                <w:webHidden/>
              </w:rPr>
              <w:tab/>
            </w:r>
            <w:r w:rsidR="00406EFB">
              <w:rPr>
                <w:noProof/>
                <w:webHidden/>
              </w:rPr>
              <w:fldChar w:fldCharType="begin"/>
            </w:r>
            <w:r w:rsidR="00406EFB">
              <w:rPr>
                <w:noProof/>
                <w:webHidden/>
              </w:rPr>
              <w:instrText xml:space="preserve"> PAGEREF _Toc109906017 \h </w:instrText>
            </w:r>
            <w:r w:rsidR="00406EFB">
              <w:rPr>
                <w:noProof/>
                <w:webHidden/>
              </w:rPr>
            </w:r>
            <w:r w:rsidR="00406EFB">
              <w:rPr>
                <w:noProof/>
                <w:webHidden/>
              </w:rPr>
              <w:fldChar w:fldCharType="separate"/>
            </w:r>
            <w:r w:rsidR="00406EFB">
              <w:rPr>
                <w:noProof/>
                <w:webHidden/>
              </w:rPr>
              <w:t>13</w:t>
            </w:r>
            <w:r w:rsidR="00406EFB">
              <w:rPr>
                <w:noProof/>
                <w:webHidden/>
              </w:rPr>
              <w:fldChar w:fldCharType="end"/>
            </w:r>
          </w:hyperlink>
        </w:p>
        <w:p w14:paraId="669094E7" w14:textId="4B8113FD"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18"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Felügyeleti tevékenység</w:t>
            </w:r>
            <w:r w:rsidR="00406EFB">
              <w:rPr>
                <w:noProof/>
                <w:webHidden/>
              </w:rPr>
              <w:tab/>
            </w:r>
            <w:r w:rsidR="00406EFB">
              <w:rPr>
                <w:noProof/>
                <w:webHidden/>
              </w:rPr>
              <w:fldChar w:fldCharType="begin"/>
            </w:r>
            <w:r w:rsidR="00406EFB">
              <w:rPr>
                <w:noProof/>
                <w:webHidden/>
              </w:rPr>
              <w:instrText xml:space="preserve"> PAGEREF _Toc109906018 \h </w:instrText>
            </w:r>
            <w:r w:rsidR="00406EFB">
              <w:rPr>
                <w:noProof/>
                <w:webHidden/>
              </w:rPr>
            </w:r>
            <w:r w:rsidR="00406EFB">
              <w:rPr>
                <w:noProof/>
                <w:webHidden/>
              </w:rPr>
              <w:fldChar w:fldCharType="separate"/>
            </w:r>
            <w:r w:rsidR="00406EFB">
              <w:rPr>
                <w:noProof/>
                <w:webHidden/>
              </w:rPr>
              <w:t>14</w:t>
            </w:r>
            <w:r w:rsidR="00406EFB">
              <w:rPr>
                <w:noProof/>
                <w:webHidden/>
              </w:rPr>
              <w:fldChar w:fldCharType="end"/>
            </w:r>
          </w:hyperlink>
        </w:p>
        <w:p w14:paraId="53AD6172" w14:textId="7CE43681"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19" w:history="1">
            <w:r w:rsidR="00406EFB" w:rsidRPr="0039194C">
              <w:rPr>
                <w:rStyle w:val="Hiperhivatkozs"/>
                <w:noProof/>
              </w:rPr>
              <w:t>5.</w:t>
            </w:r>
            <w:r w:rsidR="00406EFB">
              <w:rPr>
                <w:rFonts w:asciiTheme="minorHAnsi" w:eastAsiaTheme="minorEastAsia" w:hAnsiTheme="minorHAnsi"/>
                <w:noProof/>
                <w:sz w:val="22"/>
                <w:szCs w:val="22"/>
              </w:rPr>
              <w:tab/>
            </w:r>
            <w:r w:rsidR="00406EFB" w:rsidRPr="0039194C">
              <w:rPr>
                <w:rStyle w:val="Hiperhivatkozs"/>
                <w:noProof/>
              </w:rPr>
              <w:t>Azonosított jogsértések</w:t>
            </w:r>
            <w:r w:rsidR="00406EFB">
              <w:rPr>
                <w:noProof/>
                <w:webHidden/>
              </w:rPr>
              <w:tab/>
            </w:r>
            <w:r w:rsidR="00406EFB">
              <w:rPr>
                <w:noProof/>
                <w:webHidden/>
              </w:rPr>
              <w:fldChar w:fldCharType="begin"/>
            </w:r>
            <w:r w:rsidR="00406EFB">
              <w:rPr>
                <w:noProof/>
                <w:webHidden/>
              </w:rPr>
              <w:instrText xml:space="preserve"> PAGEREF _Toc109906019 \h </w:instrText>
            </w:r>
            <w:r w:rsidR="00406EFB">
              <w:rPr>
                <w:noProof/>
                <w:webHidden/>
              </w:rPr>
            </w:r>
            <w:r w:rsidR="00406EFB">
              <w:rPr>
                <w:noProof/>
                <w:webHidden/>
              </w:rPr>
              <w:fldChar w:fldCharType="separate"/>
            </w:r>
            <w:r w:rsidR="00406EFB">
              <w:rPr>
                <w:noProof/>
                <w:webHidden/>
              </w:rPr>
              <w:t>14</w:t>
            </w:r>
            <w:r w:rsidR="00406EFB">
              <w:rPr>
                <w:noProof/>
                <w:webHidden/>
              </w:rPr>
              <w:fldChar w:fldCharType="end"/>
            </w:r>
          </w:hyperlink>
        </w:p>
        <w:p w14:paraId="3D803219" w14:textId="735B7CAB"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20" w:history="1">
            <w:r w:rsidR="00406EFB" w:rsidRPr="0039194C">
              <w:rPr>
                <w:rStyle w:val="Hiperhivatkozs"/>
                <w:noProof/>
              </w:rPr>
              <w:t>6.</w:t>
            </w:r>
            <w:r w:rsidR="00406EFB">
              <w:rPr>
                <w:rFonts w:asciiTheme="minorHAnsi" w:eastAsiaTheme="minorEastAsia" w:hAnsiTheme="minorHAnsi"/>
                <w:noProof/>
                <w:sz w:val="22"/>
                <w:szCs w:val="22"/>
              </w:rPr>
              <w:tab/>
            </w:r>
            <w:r w:rsidR="00406EFB" w:rsidRPr="0039194C">
              <w:rPr>
                <w:rStyle w:val="Hiperhivatkozs"/>
                <w:noProof/>
              </w:rPr>
              <w:t>Alszektorok</w:t>
            </w:r>
            <w:r w:rsidR="00406EFB">
              <w:rPr>
                <w:noProof/>
                <w:webHidden/>
              </w:rPr>
              <w:tab/>
            </w:r>
            <w:r w:rsidR="00406EFB">
              <w:rPr>
                <w:noProof/>
                <w:webHidden/>
              </w:rPr>
              <w:fldChar w:fldCharType="begin"/>
            </w:r>
            <w:r w:rsidR="00406EFB">
              <w:rPr>
                <w:noProof/>
                <w:webHidden/>
              </w:rPr>
              <w:instrText xml:space="preserve"> PAGEREF _Toc109906020 \h </w:instrText>
            </w:r>
            <w:r w:rsidR="00406EFB">
              <w:rPr>
                <w:noProof/>
                <w:webHidden/>
              </w:rPr>
            </w:r>
            <w:r w:rsidR="00406EFB">
              <w:rPr>
                <w:noProof/>
                <w:webHidden/>
              </w:rPr>
              <w:fldChar w:fldCharType="separate"/>
            </w:r>
            <w:r w:rsidR="00406EFB">
              <w:rPr>
                <w:noProof/>
                <w:webHidden/>
              </w:rPr>
              <w:t>14</w:t>
            </w:r>
            <w:r w:rsidR="00406EFB">
              <w:rPr>
                <w:noProof/>
                <w:webHidden/>
              </w:rPr>
              <w:fldChar w:fldCharType="end"/>
            </w:r>
          </w:hyperlink>
        </w:p>
        <w:p w14:paraId="7A0EC132" w14:textId="19BFA407"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21" w:history="1">
            <w:r w:rsidR="00406EFB" w:rsidRPr="0039194C">
              <w:rPr>
                <w:rStyle w:val="Hiperhivatkozs"/>
                <w:noProof/>
              </w:rPr>
              <w:t>7.</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_Toc109906021 \h </w:instrText>
            </w:r>
            <w:r w:rsidR="00406EFB">
              <w:rPr>
                <w:noProof/>
                <w:webHidden/>
              </w:rPr>
            </w:r>
            <w:r w:rsidR="00406EFB">
              <w:rPr>
                <w:noProof/>
                <w:webHidden/>
              </w:rPr>
              <w:fldChar w:fldCharType="separate"/>
            </w:r>
            <w:r w:rsidR="00406EFB">
              <w:rPr>
                <w:noProof/>
                <w:webHidden/>
              </w:rPr>
              <w:t>15</w:t>
            </w:r>
            <w:r w:rsidR="00406EFB">
              <w:rPr>
                <w:noProof/>
                <w:webHidden/>
              </w:rPr>
              <w:fldChar w:fldCharType="end"/>
            </w:r>
          </w:hyperlink>
        </w:p>
        <w:p w14:paraId="23168C62" w14:textId="2779E688" w:rsidR="00406EFB" w:rsidRDefault="005A24F5">
          <w:pPr>
            <w:pStyle w:val="TJ2"/>
            <w:tabs>
              <w:tab w:val="right" w:leader="dot" w:pos="9514"/>
            </w:tabs>
            <w:rPr>
              <w:rFonts w:asciiTheme="minorHAnsi" w:hAnsiTheme="minorHAnsi"/>
              <w:noProof/>
              <w:sz w:val="22"/>
              <w:szCs w:val="22"/>
            </w:rPr>
          </w:pPr>
          <w:hyperlink w:anchor="_Toc109906022" w:history="1">
            <w:r w:rsidR="00406EFB" w:rsidRPr="0039194C">
              <w:rPr>
                <w:rStyle w:val="Hiperhivatkozs"/>
                <w:noProof/>
              </w:rPr>
              <w:t>3.3. Elektronikuspénz-kibocsátó szolgáltatói szektor</w:t>
            </w:r>
            <w:r w:rsidR="00406EFB">
              <w:rPr>
                <w:noProof/>
                <w:webHidden/>
              </w:rPr>
              <w:tab/>
            </w:r>
            <w:r w:rsidR="00406EFB">
              <w:rPr>
                <w:noProof/>
                <w:webHidden/>
              </w:rPr>
              <w:fldChar w:fldCharType="begin"/>
            </w:r>
            <w:r w:rsidR="00406EFB">
              <w:rPr>
                <w:noProof/>
                <w:webHidden/>
              </w:rPr>
              <w:instrText xml:space="preserve"> PAGEREF _Toc109906022 \h </w:instrText>
            </w:r>
            <w:r w:rsidR="00406EFB">
              <w:rPr>
                <w:noProof/>
                <w:webHidden/>
              </w:rPr>
            </w:r>
            <w:r w:rsidR="00406EFB">
              <w:rPr>
                <w:noProof/>
                <w:webHidden/>
              </w:rPr>
              <w:fldChar w:fldCharType="separate"/>
            </w:r>
            <w:r w:rsidR="00406EFB">
              <w:rPr>
                <w:noProof/>
                <w:webHidden/>
              </w:rPr>
              <w:t>16</w:t>
            </w:r>
            <w:r w:rsidR="00406EFB">
              <w:rPr>
                <w:noProof/>
                <w:webHidden/>
              </w:rPr>
              <w:fldChar w:fldCharType="end"/>
            </w:r>
          </w:hyperlink>
        </w:p>
        <w:p w14:paraId="331450C3" w14:textId="69AB7600"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23"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_Toc109906023 \h </w:instrText>
            </w:r>
            <w:r w:rsidR="00406EFB">
              <w:rPr>
                <w:noProof/>
                <w:webHidden/>
              </w:rPr>
            </w:r>
            <w:r w:rsidR="00406EFB">
              <w:rPr>
                <w:noProof/>
                <w:webHidden/>
              </w:rPr>
              <w:fldChar w:fldCharType="separate"/>
            </w:r>
            <w:r w:rsidR="00406EFB">
              <w:rPr>
                <w:noProof/>
                <w:webHidden/>
              </w:rPr>
              <w:t>16</w:t>
            </w:r>
            <w:r w:rsidR="00406EFB">
              <w:rPr>
                <w:noProof/>
                <w:webHidden/>
              </w:rPr>
              <w:fldChar w:fldCharType="end"/>
            </w:r>
          </w:hyperlink>
        </w:p>
        <w:p w14:paraId="2D6B156B" w14:textId="629B20D1"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24"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_Toc109906024 \h </w:instrText>
            </w:r>
            <w:r w:rsidR="00406EFB">
              <w:rPr>
                <w:noProof/>
                <w:webHidden/>
              </w:rPr>
            </w:r>
            <w:r w:rsidR="00406EFB">
              <w:rPr>
                <w:noProof/>
                <w:webHidden/>
              </w:rPr>
              <w:fldChar w:fldCharType="separate"/>
            </w:r>
            <w:r w:rsidR="00406EFB">
              <w:rPr>
                <w:noProof/>
                <w:webHidden/>
              </w:rPr>
              <w:t>16</w:t>
            </w:r>
            <w:r w:rsidR="00406EFB">
              <w:rPr>
                <w:noProof/>
                <w:webHidden/>
              </w:rPr>
              <w:fldChar w:fldCharType="end"/>
            </w:r>
          </w:hyperlink>
        </w:p>
        <w:p w14:paraId="002175C7" w14:textId="1CD77980"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25"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w:t>
            </w:r>
            <w:r w:rsidR="00406EFB">
              <w:rPr>
                <w:noProof/>
                <w:webHidden/>
              </w:rPr>
              <w:tab/>
            </w:r>
            <w:r w:rsidR="00406EFB">
              <w:rPr>
                <w:noProof/>
                <w:webHidden/>
              </w:rPr>
              <w:fldChar w:fldCharType="begin"/>
            </w:r>
            <w:r w:rsidR="00406EFB">
              <w:rPr>
                <w:noProof/>
                <w:webHidden/>
              </w:rPr>
              <w:instrText xml:space="preserve"> PAGEREF _Toc109906025 \h </w:instrText>
            </w:r>
            <w:r w:rsidR="00406EFB">
              <w:rPr>
                <w:noProof/>
                <w:webHidden/>
              </w:rPr>
            </w:r>
            <w:r w:rsidR="00406EFB">
              <w:rPr>
                <w:noProof/>
                <w:webHidden/>
              </w:rPr>
              <w:fldChar w:fldCharType="separate"/>
            </w:r>
            <w:r w:rsidR="00406EFB">
              <w:rPr>
                <w:noProof/>
                <w:webHidden/>
              </w:rPr>
              <w:t>17</w:t>
            </w:r>
            <w:r w:rsidR="00406EFB">
              <w:rPr>
                <w:noProof/>
                <w:webHidden/>
              </w:rPr>
              <w:fldChar w:fldCharType="end"/>
            </w:r>
          </w:hyperlink>
        </w:p>
        <w:p w14:paraId="1EB006D9" w14:textId="65923FE5"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26"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Felügyeleti tevékenység</w:t>
            </w:r>
            <w:r w:rsidR="00406EFB">
              <w:rPr>
                <w:noProof/>
                <w:webHidden/>
              </w:rPr>
              <w:tab/>
            </w:r>
            <w:r w:rsidR="00406EFB">
              <w:rPr>
                <w:noProof/>
                <w:webHidden/>
              </w:rPr>
              <w:fldChar w:fldCharType="begin"/>
            </w:r>
            <w:r w:rsidR="00406EFB">
              <w:rPr>
                <w:noProof/>
                <w:webHidden/>
              </w:rPr>
              <w:instrText xml:space="preserve"> PAGEREF _Toc109906026 \h </w:instrText>
            </w:r>
            <w:r w:rsidR="00406EFB">
              <w:rPr>
                <w:noProof/>
                <w:webHidden/>
              </w:rPr>
            </w:r>
            <w:r w:rsidR="00406EFB">
              <w:rPr>
                <w:noProof/>
                <w:webHidden/>
              </w:rPr>
              <w:fldChar w:fldCharType="separate"/>
            </w:r>
            <w:r w:rsidR="00406EFB">
              <w:rPr>
                <w:noProof/>
                <w:webHidden/>
              </w:rPr>
              <w:t>17</w:t>
            </w:r>
            <w:r w:rsidR="00406EFB">
              <w:rPr>
                <w:noProof/>
                <w:webHidden/>
              </w:rPr>
              <w:fldChar w:fldCharType="end"/>
            </w:r>
          </w:hyperlink>
        </w:p>
        <w:p w14:paraId="6203651C" w14:textId="53D4C6E0"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27" w:history="1">
            <w:r w:rsidR="00406EFB" w:rsidRPr="0039194C">
              <w:rPr>
                <w:rStyle w:val="Hiperhivatkozs"/>
                <w:noProof/>
              </w:rPr>
              <w:t>5.</w:t>
            </w:r>
            <w:r w:rsidR="00406EFB">
              <w:rPr>
                <w:rFonts w:asciiTheme="minorHAnsi" w:eastAsiaTheme="minorEastAsia" w:hAnsiTheme="minorHAnsi"/>
                <w:noProof/>
                <w:sz w:val="22"/>
                <w:szCs w:val="22"/>
              </w:rPr>
              <w:tab/>
            </w:r>
            <w:r w:rsidR="00406EFB" w:rsidRPr="0039194C">
              <w:rPr>
                <w:rStyle w:val="Hiperhivatkozs"/>
                <w:noProof/>
              </w:rPr>
              <w:t>Azonosított jogsértések</w:t>
            </w:r>
            <w:r w:rsidR="00406EFB">
              <w:rPr>
                <w:noProof/>
                <w:webHidden/>
              </w:rPr>
              <w:tab/>
            </w:r>
            <w:r w:rsidR="00406EFB">
              <w:rPr>
                <w:noProof/>
                <w:webHidden/>
              </w:rPr>
              <w:fldChar w:fldCharType="begin"/>
            </w:r>
            <w:r w:rsidR="00406EFB">
              <w:rPr>
                <w:noProof/>
                <w:webHidden/>
              </w:rPr>
              <w:instrText xml:space="preserve"> PAGEREF _Toc109906027 \h </w:instrText>
            </w:r>
            <w:r w:rsidR="00406EFB">
              <w:rPr>
                <w:noProof/>
                <w:webHidden/>
              </w:rPr>
            </w:r>
            <w:r w:rsidR="00406EFB">
              <w:rPr>
                <w:noProof/>
                <w:webHidden/>
              </w:rPr>
              <w:fldChar w:fldCharType="separate"/>
            </w:r>
            <w:r w:rsidR="00406EFB">
              <w:rPr>
                <w:noProof/>
                <w:webHidden/>
              </w:rPr>
              <w:t>17</w:t>
            </w:r>
            <w:r w:rsidR="00406EFB">
              <w:rPr>
                <w:noProof/>
                <w:webHidden/>
              </w:rPr>
              <w:fldChar w:fldCharType="end"/>
            </w:r>
          </w:hyperlink>
        </w:p>
        <w:p w14:paraId="374AC6D4" w14:textId="32B7941C"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28" w:history="1">
            <w:r w:rsidR="00406EFB" w:rsidRPr="0039194C">
              <w:rPr>
                <w:rStyle w:val="Hiperhivatkozs"/>
                <w:noProof/>
              </w:rPr>
              <w:t>6.</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_Toc109906028 \h </w:instrText>
            </w:r>
            <w:r w:rsidR="00406EFB">
              <w:rPr>
                <w:noProof/>
                <w:webHidden/>
              </w:rPr>
            </w:r>
            <w:r w:rsidR="00406EFB">
              <w:rPr>
                <w:noProof/>
                <w:webHidden/>
              </w:rPr>
              <w:fldChar w:fldCharType="separate"/>
            </w:r>
            <w:r w:rsidR="00406EFB">
              <w:rPr>
                <w:noProof/>
                <w:webHidden/>
              </w:rPr>
              <w:t>17</w:t>
            </w:r>
            <w:r w:rsidR="00406EFB">
              <w:rPr>
                <w:noProof/>
                <w:webHidden/>
              </w:rPr>
              <w:fldChar w:fldCharType="end"/>
            </w:r>
          </w:hyperlink>
        </w:p>
        <w:p w14:paraId="4ABA7CD2" w14:textId="3252BA5E" w:rsidR="00406EFB" w:rsidRDefault="005A24F5">
          <w:pPr>
            <w:pStyle w:val="TJ2"/>
            <w:tabs>
              <w:tab w:val="right" w:leader="dot" w:pos="9514"/>
            </w:tabs>
            <w:rPr>
              <w:rFonts w:asciiTheme="minorHAnsi" w:hAnsiTheme="minorHAnsi"/>
              <w:noProof/>
              <w:sz w:val="22"/>
              <w:szCs w:val="22"/>
            </w:rPr>
          </w:pPr>
          <w:hyperlink w:anchor="_Toc109906029" w:history="1">
            <w:r w:rsidR="00406EFB" w:rsidRPr="0039194C">
              <w:rPr>
                <w:rStyle w:val="Hiperhivatkozs"/>
                <w:noProof/>
              </w:rPr>
              <w:t>3.4. Pénzváltó irodák</w:t>
            </w:r>
            <w:r w:rsidR="00406EFB">
              <w:rPr>
                <w:noProof/>
                <w:webHidden/>
              </w:rPr>
              <w:tab/>
            </w:r>
            <w:r w:rsidR="00406EFB">
              <w:rPr>
                <w:noProof/>
                <w:webHidden/>
              </w:rPr>
              <w:fldChar w:fldCharType="begin"/>
            </w:r>
            <w:r w:rsidR="00406EFB">
              <w:rPr>
                <w:noProof/>
                <w:webHidden/>
              </w:rPr>
              <w:instrText xml:space="preserve"> PAGEREF _Toc109906029 \h </w:instrText>
            </w:r>
            <w:r w:rsidR="00406EFB">
              <w:rPr>
                <w:noProof/>
                <w:webHidden/>
              </w:rPr>
            </w:r>
            <w:r w:rsidR="00406EFB">
              <w:rPr>
                <w:noProof/>
                <w:webHidden/>
              </w:rPr>
              <w:fldChar w:fldCharType="separate"/>
            </w:r>
            <w:r w:rsidR="00406EFB">
              <w:rPr>
                <w:noProof/>
                <w:webHidden/>
              </w:rPr>
              <w:t>18</w:t>
            </w:r>
            <w:r w:rsidR="00406EFB">
              <w:rPr>
                <w:noProof/>
                <w:webHidden/>
              </w:rPr>
              <w:fldChar w:fldCharType="end"/>
            </w:r>
          </w:hyperlink>
        </w:p>
        <w:p w14:paraId="6F535AE7" w14:textId="4F579AF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30"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_Toc109906030 \h </w:instrText>
            </w:r>
            <w:r w:rsidR="00406EFB">
              <w:rPr>
                <w:noProof/>
                <w:webHidden/>
              </w:rPr>
            </w:r>
            <w:r w:rsidR="00406EFB">
              <w:rPr>
                <w:noProof/>
                <w:webHidden/>
              </w:rPr>
              <w:fldChar w:fldCharType="separate"/>
            </w:r>
            <w:r w:rsidR="00406EFB">
              <w:rPr>
                <w:noProof/>
                <w:webHidden/>
              </w:rPr>
              <w:t>18</w:t>
            </w:r>
            <w:r w:rsidR="00406EFB">
              <w:rPr>
                <w:noProof/>
                <w:webHidden/>
              </w:rPr>
              <w:fldChar w:fldCharType="end"/>
            </w:r>
          </w:hyperlink>
        </w:p>
        <w:p w14:paraId="6BD34F38" w14:textId="4D5BC5EC"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31"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_Toc109906031 \h </w:instrText>
            </w:r>
            <w:r w:rsidR="00406EFB">
              <w:rPr>
                <w:noProof/>
                <w:webHidden/>
              </w:rPr>
            </w:r>
            <w:r w:rsidR="00406EFB">
              <w:rPr>
                <w:noProof/>
                <w:webHidden/>
              </w:rPr>
              <w:fldChar w:fldCharType="separate"/>
            </w:r>
            <w:r w:rsidR="00406EFB">
              <w:rPr>
                <w:noProof/>
                <w:webHidden/>
              </w:rPr>
              <w:t>18</w:t>
            </w:r>
            <w:r w:rsidR="00406EFB">
              <w:rPr>
                <w:noProof/>
                <w:webHidden/>
              </w:rPr>
              <w:fldChar w:fldCharType="end"/>
            </w:r>
          </w:hyperlink>
        </w:p>
        <w:p w14:paraId="24930890" w14:textId="41B1C9C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32"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w:t>
            </w:r>
            <w:r w:rsidR="00406EFB">
              <w:rPr>
                <w:noProof/>
                <w:webHidden/>
              </w:rPr>
              <w:tab/>
            </w:r>
            <w:r w:rsidR="00406EFB">
              <w:rPr>
                <w:noProof/>
                <w:webHidden/>
              </w:rPr>
              <w:fldChar w:fldCharType="begin"/>
            </w:r>
            <w:r w:rsidR="00406EFB">
              <w:rPr>
                <w:noProof/>
                <w:webHidden/>
              </w:rPr>
              <w:instrText xml:space="preserve"> PAGEREF _Toc109906032 \h </w:instrText>
            </w:r>
            <w:r w:rsidR="00406EFB">
              <w:rPr>
                <w:noProof/>
                <w:webHidden/>
              </w:rPr>
            </w:r>
            <w:r w:rsidR="00406EFB">
              <w:rPr>
                <w:noProof/>
                <w:webHidden/>
              </w:rPr>
              <w:fldChar w:fldCharType="separate"/>
            </w:r>
            <w:r w:rsidR="00406EFB">
              <w:rPr>
                <w:noProof/>
                <w:webHidden/>
              </w:rPr>
              <w:t>19</w:t>
            </w:r>
            <w:r w:rsidR="00406EFB">
              <w:rPr>
                <w:noProof/>
                <w:webHidden/>
              </w:rPr>
              <w:fldChar w:fldCharType="end"/>
            </w:r>
          </w:hyperlink>
        </w:p>
        <w:p w14:paraId="37BC4179" w14:textId="0470EC7D"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33"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Felügyeleti tevékenység</w:t>
            </w:r>
            <w:r w:rsidR="00406EFB">
              <w:rPr>
                <w:noProof/>
                <w:webHidden/>
              </w:rPr>
              <w:tab/>
            </w:r>
            <w:r w:rsidR="00406EFB">
              <w:rPr>
                <w:noProof/>
                <w:webHidden/>
              </w:rPr>
              <w:fldChar w:fldCharType="begin"/>
            </w:r>
            <w:r w:rsidR="00406EFB">
              <w:rPr>
                <w:noProof/>
                <w:webHidden/>
              </w:rPr>
              <w:instrText xml:space="preserve"> PAGEREF _Toc109906033 \h </w:instrText>
            </w:r>
            <w:r w:rsidR="00406EFB">
              <w:rPr>
                <w:noProof/>
                <w:webHidden/>
              </w:rPr>
            </w:r>
            <w:r w:rsidR="00406EFB">
              <w:rPr>
                <w:noProof/>
                <w:webHidden/>
              </w:rPr>
              <w:fldChar w:fldCharType="separate"/>
            </w:r>
            <w:r w:rsidR="00406EFB">
              <w:rPr>
                <w:noProof/>
                <w:webHidden/>
              </w:rPr>
              <w:t>19</w:t>
            </w:r>
            <w:r w:rsidR="00406EFB">
              <w:rPr>
                <w:noProof/>
                <w:webHidden/>
              </w:rPr>
              <w:fldChar w:fldCharType="end"/>
            </w:r>
          </w:hyperlink>
        </w:p>
        <w:p w14:paraId="4C288B89" w14:textId="7641C4A0"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34" w:history="1">
            <w:r w:rsidR="00406EFB" w:rsidRPr="0039194C">
              <w:rPr>
                <w:rStyle w:val="Hiperhivatkozs"/>
                <w:noProof/>
              </w:rPr>
              <w:t>5.</w:t>
            </w:r>
            <w:r w:rsidR="00406EFB">
              <w:rPr>
                <w:rFonts w:asciiTheme="minorHAnsi" w:eastAsiaTheme="minorEastAsia" w:hAnsiTheme="minorHAnsi"/>
                <w:noProof/>
                <w:sz w:val="22"/>
                <w:szCs w:val="22"/>
              </w:rPr>
              <w:tab/>
            </w:r>
            <w:r w:rsidR="00406EFB" w:rsidRPr="0039194C">
              <w:rPr>
                <w:rStyle w:val="Hiperhivatkozs"/>
                <w:noProof/>
              </w:rPr>
              <w:t>Azonosított jogsértések</w:t>
            </w:r>
            <w:r w:rsidR="00406EFB">
              <w:rPr>
                <w:noProof/>
                <w:webHidden/>
              </w:rPr>
              <w:tab/>
            </w:r>
            <w:r w:rsidR="00406EFB">
              <w:rPr>
                <w:noProof/>
                <w:webHidden/>
              </w:rPr>
              <w:fldChar w:fldCharType="begin"/>
            </w:r>
            <w:r w:rsidR="00406EFB">
              <w:rPr>
                <w:noProof/>
                <w:webHidden/>
              </w:rPr>
              <w:instrText xml:space="preserve"> PAGEREF _Toc109906034 \h </w:instrText>
            </w:r>
            <w:r w:rsidR="00406EFB">
              <w:rPr>
                <w:noProof/>
                <w:webHidden/>
              </w:rPr>
            </w:r>
            <w:r w:rsidR="00406EFB">
              <w:rPr>
                <w:noProof/>
                <w:webHidden/>
              </w:rPr>
              <w:fldChar w:fldCharType="separate"/>
            </w:r>
            <w:r w:rsidR="00406EFB">
              <w:rPr>
                <w:noProof/>
                <w:webHidden/>
              </w:rPr>
              <w:t>20</w:t>
            </w:r>
            <w:r w:rsidR="00406EFB">
              <w:rPr>
                <w:noProof/>
                <w:webHidden/>
              </w:rPr>
              <w:fldChar w:fldCharType="end"/>
            </w:r>
          </w:hyperlink>
        </w:p>
        <w:p w14:paraId="4A7DD2AC" w14:textId="6E110E90"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35" w:history="1">
            <w:r w:rsidR="00406EFB" w:rsidRPr="0039194C">
              <w:rPr>
                <w:rStyle w:val="Hiperhivatkozs"/>
                <w:noProof/>
              </w:rPr>
              <w:t>6.</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_Toc109906035 \h </w:instrText>
            </w:r>
            <w:r w:rsidR="00406EFB">
              <w:rPr>
                <w:noProof/>
                <w:webHidden/>
              </w:rPr>
            </w:r>
            <w:r w:rsidR="00406EFB">
              <w:rPr>
                <w:noProof/>
                <w:webHidden/>
              </w:rPr>
              <w:fldChar w:fldCharType="separate"/>
            </w:r>
            <w:r w:rsidR="00406EFB">
              <w:rPr>
                <w:noProof/>
                <w:webHidden/>
              </w:rPr>
              <w:t>20</w:t>
            </w:r>
            <w:r w:rsidR="00406EFB">
              <w:rPr>
                <w:noProof/>
                <w:webHidden/>
              </w:rPr>
              <w:fldChar w:fldCharType="end"/>
            </w:r>
          </w:hyperlink>
        </w:p>
        <w:p w14:paraId="5807EA66" w14:textId="0FE4E833" w:rsidR="00406EFB" w:rsidRDefault="005A24F5">
          <w:pPr>
            <w:pStyle w:val="TJ2"/>
            <w:tabs>
              <w:tab w:val="right" w:leader="dot" w:pos="9514"/>
            </w:tabs>
            <w:rPr>
              <w:rFonts w:asciiTheme="minorHAnsi" w:hAnsiTheme="minorHAnsi"/>
              <w:noProof/>
              <w:sz w:val="22"/>
              <w:szCs w:val="22"/>
            </w:rPr>
          </w:pPr>
          <w:hyperlink w:anchor="_Toc109906036" w:history="1">
            <w:r w:rsidR="00406EFB" w:rsidRPr="0039194C">
              <w:rPr>
                <w:rStyle w:val="Hiperhivatkozs"/>
                <w:noProof/>
              </w:rPr>
              <w:t>3.5. Befektetési vállalkozások</w:t>
            </w:r>
            <w:r w:rsidR="00406EFB">
              <w:rPr>
                <w:noProof/>
                <w:webHidden/>
              </w:rPr>
              <w:tab/>
            </w:r>
            <w:r w:rsidR="00406EFB">
              <w:rPr>
                <w:noProof/>
                <w:webHidden/>
              </w:rPr>
              <w:fldChar w:fldCharType="begin"/>
            </w:r>
            <w:r w:rsidR="00406EFB">
              <w:rPr>
                <w:noProof/>
                <w:webHidden/>
              </w:rPr>
              <w:instrText xml:space="preserve"> PAGEREF _Toc109906036 \h </w:instrText>
            </w:r>
            <w:r w:rsidR="00406EFB">
              <w:rPr>
                <w:noProof/>
                <w:webHidden/>
              </w:rPr>
            </w:r>
            <w:r w:rsidR="00406EFB">
              <w:rPr>
                <w:noProof/>
                <w:webHidden/>
              </w:rPr>
              <w:fldChar w:fldCharType="separate"/>
            </w:r>
            <w:r w:rsidR="00406EFB">
              <w:rPr>
                <w:noProof/>
                <w:webHidden/>
              </w:rPr>
              <w:t>20</w:t>
            </w:r>
            <w:r w:rsidR="00406EFB">
              <w:rPr>
                <w:noProof/>
                <w:webHidden/>
              </w:rPr>
              <w:fldChar w:fldCharType="end"/>
            </w:r>
          </w:hyperlink>
        </w:p>
        <w:p w14:paraId="42B823B2" w14:textId="08F29318"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37"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_Toc109906037 \h </w:instrText>
            </w:r>
            <w:r w:rsidR="00406EFB">
              <w:rPr>
                <w:noProof/>
                <w:webHidden/>
              </w:rPr>
            </w:r>
            <w:r w:rsidR="00406EFB">
              <w:rPr>
                <w:noProof/>
                <w:webHidden/>
              </w:rPr>
              <w:fldChar w:fldCharType="separate"/>
            </w:r>
            <w:r w:rsidR="00406EFB">
              <w:rPr>
                <w:noProof/>
                <w:webHidden/>
              </w:rPr>
              <w:t>20</w:t>
            </w:r>
            <w:r w:rsidR="00406EFB">
              <w:rPr>
                <w:noProof/>
                <w:webHidden/>
              </w:rPr>
              <w:fldChar w:fldCharType="end"/>
            </w:r>
          </w:hyperlink>
        </w:p>
        <w:p w14:paraId="2D3E38EF" w14:textId="17C75F87"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38"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_Toc109906038 \h </w:instrText>
            </w:r>
            <w:r w:rsidR="00406EFB">
              <w:rPr>
                <w:noProof/>
                <w:webHidden/>
              </w:rPr>
            </w:r>
            <w:r w:rsidR="00406EFB">
              <w:rPr>
                <w:noProof/>
                <w:webHidden/>
              </w:rPr>
              <w:fldChar w:fldCharType="separate"/>
            </w:r>
            <w:r w:rsidR="00406EFB">
              <w:rPr>
                <w:noProof/>
                <w:webHidden/>
              </w:rPr>
              <w:t>20</w:t>
            </w:r>
            <w:r w:rsidR="00406EFB">
              <w:rPr>
                <w:noProof/>
                <w:webHidden/>
              </w:rPr>
              <w:fldChar w:fldCharType="end"/>
            </w:r>
          </w:hyperlink>
        </w:p>
        <w:p w14:paraId="471AF76D" w14:textId="426DC90F"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39"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w:t>
            </w:r>
            <w:r w:rsidR="00406EFB">
              <w:rPr>
                <w:noProof/>
                <w:webHidden/>
              </w:rPr>
              <w:tab/>
            </w:r>
            <w:r w:rsidR="00406EFB">
              <w:rPr>
                <w:noProof/>
                <w:webHidden/>
              </w:rPr>
              <w:fldChar w:fldCharType="begin"/>
            </w:r>
            <w:r w:rsidR="00406EFB">
              <w:rPr>
                <w:noProof/>
                <w:webHidden/>
              </w:rPr>
              <w:instrText xml:space="preserve"> PAGEREF _Toc109906039 \h </w:instrText>
            </w:r>
            <w:r w:rsidR="00406EFB">
              <w:rPr>
                <w:noProof/>
                <w:webHidden/>
              </w:rPr>
            </w:r>
            <w:r w:rsidR="00406EFB">
              <w:rPr>
                <w:noProof/>
                <w:webHidden/>
              </w:rPr>
              <w:fldChar w:fldCharType="separate"/>
            </w:r>
            <w:r w:rsidR="00406EFB">
              <w:rPr>
                <w:noProof/>
                <w:webHidden/>
              </w:rPr>
              <w:t>22</w:t>
            </w:r>
            <w:r w:rsidR="00406EFB">
              <w:rPr>
                <w:noProof/>
                <w:webHidden/>
              </w:rPr>
              <w:fldChar w:fldCharType="end"/>
            </w:r>
          </w:hyperlink>
        </w:p>
        <w:p w14:paraId="7092D8D3" w14:textId="48D74DE2"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40"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Felügyeleti tevékenység</w:t>
            </w:r>
            <w:r w:rsidR="00406EFB">
              <w:rPr>
                <w:noProof/>
                <w:webHidden/>
              </w:rPr>
              <w:tab/>
            </w:r>
            <w:r w:rsidR="00406EFB">
              <w:rPr>
                <w:noProof/>
                <w:webHidden/>
              </w:rPr>
              <w:fldChar w:fldCharType="begin"/>
            </w:r>
            <w:r w:rsidR="00406EFB">
              <w:rPr>
                <w:noProof/>
                <w:webHidden/>
              </w:rPr>
              <w:instrText xml:space="preserve"> PAGEREF _Toc109906040 \h </w:instrText>
            </w:r>
            <w:r w:rsidR="00406EFB">
              <w:rPr>
                <w:noProof/>
                <w:webHidden/>
              </w:rPr>
            </w:r>
            <w:r w:rsidR="00406EFB">
              <w:rPr>
                <w:noProof/>
                <w:webHidden/>
              </w:rPr>
              <w:fldChar w:fldCharType="separate"/>
            </w:r>
            <w:r w:rsidR="00406EFB">
              <w:rPr>
                <w:noProof/>
                <w:webHidden/>
              </w:rPr>
              <w:t>22</w:t>
            </w:r>
            <w:r w:rsidR="00406EFB">
              <w:rPr>
                <w:noProof/>
                <w:webHidden/>
              </w:rPr>
              <w:fldChar w:fldCharType="end"/>
            </w:r>
          </w:hyperlink>
        </w:p>
        <w:p w14:paraId="4C951AC0" w14:textId="266C2AF2"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41" w:history="1">
            <w:r w:rsidR="00406EFB" w:rsidRPr="0039194C">
              <w:rPr>
                <w:rStyle w:val="Hiperhivatkozs"/>
                <w:noProof/>
              </w:rPr>
              <w:t>5.</w:t>
            </w:r>
            <w:r w:rsidR="00406EFB">
              <w:rPr>
                <w:rFonts w:asciiTheme="minorHAnsi" w:eastAsiaTheme="minorEastAsia" w:hAnsiTheme="minorHAnsi"/>
                <w:noProof/>
                <w:sz w:val="22"/>
                <w:szCs w:val="22"/>
              </w:rPr>
              <w:tab/>
            </w:r>
            <w:r w:rsidR="00406EFB" w:rsidRPr="0039194C">
              <w:rPr>
                <w:rStyle w:val="Hiperhivatkozs"/>
                <w:noProof/>
              </w:rPr>
              <w:t>Azonosított jogsértések</w:t>
            </w:r>
            <w:r w:rsidR="00406EFB">
              <w:rPr>
                <w:noProof/>
                <w:webHidden/>
              </w:rPr>
              <w:tab/>
            </w:r>
            <w:r w:rsidR="00406EFB">
              <w:rPr>
                <w:noProof/>
                <w:webHidden/>
              </w:rPr>
              <w:fldChar w:fldCharType="begin"/>
            </w:r>
            <w:r w:rsidR="00406EFB">
              <w:rPr>
                <w:noProof/>
                <w:webHidden/>
              </w:rPr>
              <w:instrText xml:space="preserve"> PAGEREF _Toc109906041 \h </w:instrText>
            </w:r>
            <w:r w:rsidR="00406EFB">
              <w:rPr>
                <w:noProof/>
                <w:webHidden/>
              </w:rPr>
            </w:r>
            <w:r w:rsidR="00406EFB">
              <w:rPr>
                <w:noProof/>
                <w:webHidden/>
              </w:rPr>
              <w:fldChar w:fldCharType="separate"/>
            </w:r>
            <w:r w:rsidR="00406EFB">
              <w:rPr>
                <w:noProof/>
                <w:webHidden/>
              </w:rPr>
              <w:t>22</w:t>
            </w:r>
            <w:r w:rsidR="00406EFB">
              <w:rPr>
                <w:noProof/>
                <w:webHidden/>
              </w:rPr>
              <w:fldChar w:fldCharType="end"/>
            </w:r>
          </w:hyperlink>
        </w:p>
        <w:p w14:paraId="0F301A95" w14:textId="38076D91"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42" w:history="1">
            <w:r w:rsidR="00406EFB" w:rsidRPr="0039194C">
              <w:rPr>
                <w:rStyle w:val="Hiperhivatkozs"/>
                <w:noProof/>
              </w:rPr>
              <w:t>6.</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_Toc109906042 \h </w:instrText>
            </w:r>
            <w:r w:rsidR="00406EFB">
              <w:rPr>
                <w:noProof/>
                <w:webHidden/>
              </w:rPr>
            </w:r>
            <w:r w:rsidR="00406EFB">
              <w:rPr>
                <w:noProof/>
                <w:webHidden/>
              </w:rPr>
              <w:fldChar w:fldCharType="separate"/>
            </w:r>
            <w:r w:rsidR="00406EFB">
              <w:rPr>
                <w:noProof/>
                <w:webHidden/>
              </w:rPr>
              <w:t>22</w:t>
            </w:r>
            <w:r w:rsidR="00406EFB">
              <w:rPr>
                <w:noProof/>
                <w:webHidden/>
              </w:rPr>
              <w:fldChar w:fldCharType="end"/>
            </w:r>
          </w:hyperlink>
        </w:p>
        <w:p w14:paraId="43789002" w14:textId="11FFFDA2" w:rsidR="00406EFB" w:rsidRDefault="005A24F5">
          <w:pPr>
            <w:pStyle w:val="TJ2"/>
            <w:tabs>
              <w:tab w:val="right" w:leader="dot" w:pos="9514"/>
            </w:tabs>
            <w:rPr>
              <w:rFonts w:asciiTheme="minorHAnsi" w:hAnsiTheme="minorHAnsi"/>
              <w:noProof/>
              <w:sz w:val="22"/>
              <w:szCs w:val="22"/>
            </w:rPr>
          </w:pPr>
          <w:hyperlink w:anchor="_Toc109906043" w:history="1">
            <w:r w:rsidR="00406EFB" w:rsidRPr="0039194C">
              <w:rPr>
                <w:rStyle w:val="Hiperhivatkozs"/>
                <w:noProof/>
              </w:rPr>
              <w:t>3.6. Kollektív befektetési vállalkozások/alapkezelők</w:t>
            </w:r>
            <w:r w:rsidR="00406EFB">
              <w:rPr>
                <w:noProof/>
                <w:webHidden/>
              </w:rPr>
              <w:tab/>
            </w:r>
            <w:r w:rsidR="00406EFB">
              <w:rPr>
                <w:noProof/>
                <w:webHidden/>
              </w:rPr>
              <w:fldChar w:fldCharType="begin"/>
            </w:r>
            <w:r w:rsidR="00406EFB">
              <w:rPr>
                <w:noProof/>
                <w:webHidden/>
              </w:rPr>
              <w:instrText xml:space="preserve"> PAGEREF _Toc109906043 \h </w:instrText>
            </w:r>
            <w:r w:rsidR="00406EFB">
              <w:rPr>
                <w:noProof/>
                <w:webHidden/>
              </w:rPr>
            </w:r>
            <w:r w:rsidR="00406EFB">
              <w:rPr>
                <w:noProof/>
                <w:webHidden/>
              </w:rPr>
              <w:fldChar w:fldCharType="separate"/>
            </w:r>
            <w:r w:rsidR="00406EFB">
              <w:rPr>
                <w:noProof/>
                <w:webHidden/>
              </w:rPr>
              <w:t>22</w:t>
            </w:r>
            <w:r w:rsidR="00406EFB">
              <w:rPr>
                <w:noProof/>
                <w:webHidden/>
              </w:rPr>
              <w:fldChar w:fldCharType="end"/>
            </w:r>
          </w:hyperlink>
        </w:p>
        <w:p w14:paraId="03397A51" w14:textId="13F8CBF1"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44"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_Toc109906044 \h </w:instrText>
            </w:r>
            <w:r w:rsidR="00406EFB">
              <w:rPr>
                <w:noProof/>
                <w:webHidden/>
              </w:rPr>
            </w:r>
            <w:r w:rsidR="00406EFB">
              <w:rPr>
                <w:noProof/>
                <w:webHidden/>
              </w:rPr>
              <w:fldChar w:fldCharType="separate"/>
            </w:r>
            <w:r w:rsidR="00406EFB">
              <w:rPr>
                <w:noProof/>
                <w:webHidden/>
              </w:rPr>
              <w:t>22</w:t>
            </w:r>
            <w:r w:rsidR="00406EFB">
              <w:rPr>
                <w:noProof/>
                <w:webHidden/>
              </w:rPr>
              <w:fldChar w:fldCharType="end"/>
            </w:r>
          </w:hyperlink>
        </w:p>
        <w:p w14:paraId="4F1623E1" w14:textId="7D52642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45"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_Toc109906045 \h </w:instrText>
            </w:r>
            <w:r w:rsidR="00406EFB">
              <w:rPr>
                <w:noProof/>
                <w:webHidden/>
              </w:rPr>
            </w:r>
            <w:r w:rsidR="00406EFB">
              <w:rPr>
                <w:noProof/>
                <w:webHidden/>
              </w:rPr>
              <w:fldChar w:fldCharType="separate"/>
            </w:r>
            <w:r w:rsidR="00406EFB">
              <w:rPr>
                <w:noProof/>
                <w:webHidden/>
              </w:rPr>
              <w:t>23</w:t>
            </w:r>
            <w:r w:rsidR="00406EFB">
              <w:rPr>
                <w:noProof/>
                <w:webHidden/>
              </w:rPr>
              <w:fldChar w:fldCharType="end"/>
            </w:r>
          </w:hyperlink>
        </w:p>
        <w:p w14:paraId="1F6B6042" w14:textId="73FE909D"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46"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w:t>
            </w:r>
            <w:r w:rsidR="00406EFB">
              <w:rPr>
                <w:noProof/>
                <w:webHidden/>
              </w:rPr>
              <w:tab/>
            </w:r>
            <w:r w:rsidR="00406EFB">
              <w:rPr>
                <w:noProof/>
                <w:webHidden/>
              </w:rPr>
              <w:fldChar w:fldCharType="begin"/>
            </w:r>
            <w:r w:rsidR="00406EFB">
              <w:rPr>
                <w:noProof/>
                <w:webHidden/>
              </w:rPr>
              <w:instrText xml:space="preserve"> PAGEREF _Toc109906046 \h </w:instrText>
            </w:r>
            <w:r w:rsidR="00406EFB">
              <w:rPr>
                <w:noProof/>
                <w:webHidden/>
              </w:rPr>
            </w:r>
            <w:r w:rsidR="00406EFB">
              <w:rPr>
                <w:noProof/>
                <w:webHidden/>
              </w:rPr>
              <w:fldChar w:fldCharType="separate"/>
            </w:r>
            <w:r w:rsidR="00406EFB">
              <w:rPr>
                <w:noProof/>
                <w:webHidden/>
              </w:rPr>
              <w:t>24</w:t>
            </w:r>
            <w:r w:rsidR="00406EFB">
              <w:rPr>
                <w:noProof/>
                <w:webHidden/>
              </w:rPr>
              <w:fldChar w:fldCharType="end"/>
            </w:r>
          </w:hyperlink>
        </w:p>
        <w:p w14:paraId="75589592" w14:textId="184B581D"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47"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Felügyeleti tevékenység</w:t>
            </w:r>
            <w:r w:rsidR="00406EFB">
              <w:rPr>
                <w:noProof/>
                <w:webHidden/>
              </w:rPr>
              <w:tab/>
            </w:r>
            <w:r w:rsidR="00406EFB">
              <w:rPr>
                <w:noProof/>
                <w:webHidden/>
              </w:rPr>
              <w:fldChar w:fldCharType="begin"/>
            </w:r>
            <w:r w:rsidR="00406EFB">
              <w:rPr>
                <w:noProof/>
                <w:webHidden/>
              </w:rPr>
              <w:instrText xml:space="preserve"> PAGEREF _Toc109906047 \h </w:instrText>
            </w:r>
            <w:r w:rsidR="00406EFB">
              <w:rPr>
                <w:noProof/>
                <w:webHidden/>
              </w:rPr>
            </w:r>
            <w:r w:rsidR="00406EFB">
              <w:rPr>
                <w:noProof/>
                <w:webHidden/>
              </w:rPr>
              <w:fldChar w:fldCharType="separate"/>
            </w:r>
            <w:r w:rsidR="00406EFB">
              <w:rPr>
                <w:noProof/>
                <w:webHidden/>
              </w:rPr>
              <w:t>24</w:t>
            </w:r>
            <w:r w:rsidR="00406EFB">
              <w:rPr>
                <w:noProof/>
                <w:webHidden/>
              </w:rPr>
              <w:fldChar w:fldCharType="end"/>
            </w:r>
          </w:hyperlink>
        </w:p>
        <w:p w14:paraId="626EFAD2" w14:textId="57A3AEF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48" w:history="1">
            <w:r w:rsidR="00406EFB" w:rsidRPr="0039194C">
              <w:rPr>
                <w:rStyle w:val="Hiperhivatkozs"/>
                <w:noProof/>
              </w:rPr>
              <w:t>5.</w:t>
            </w:r>
            <w:r w:rsidR="00406EFB">
              <w:rPr>
                <w:rFonts w:asciiTheme="minorHAnsi" w:eastAsiaTheme="minorEastAsia" w:hAnsiTheme="minorHAnsi"/>
                <w:noProof/>
                <w:sz w:val="22"/>
                <w:szCs w:val="22"/>
              </w:rPr>
              <w:tab/>
            </w:r>
            <w:r w:rsidR="00406EFB" w:rsidRPr="0039194C">
              <w:rPr>
                <w:rStyle w:val="Hiperhivatkozs"/>
                <w:noProof/>
              </w:rPr>
              <w:t>Azonosított jogsértések</w:t>
            </w:r>
            <w:r w:rsidR="00406EFB">
              <w:rPr>
                <w:noProof/>
                <w:webHidden/>
              </w:rPr>
              <w:tab/>
            </w:r>
            <w:r w:rsidR="00406EFB">
              <w:rPr>
                <w:noProof/>
                <w:webHidden/>
              </w:rPr>
              <w:fldChar w:fldCharType="begin"/>
            </w:r>
            <w:r w:rsidR="00406EFB">
              <w:rPr>
                <w:noProof/>
                <w:webHidden/>
              </w:rPr>
              <w:instrText xml:space="preserve"> PAGEREF _Toc109906048 \h </w:instrText>
            </w:r>
            <w:r w:rsidR="00406EFB">
              <w:rPr>
                <w:noProof/>
                <w:webHidden/>
              </w:rPr>
            </w:r>
            <w:r w:rsidR="00406EFB">
              <w:rPr>
                <w:noProof/>
                <w:webHidden/>
              </w:rPr>
              <w:fldChar w:fldCharType="separate"/>
            </w:r>
            <w:r w:rsidR="00406EFB">
              <w:rPr>
                <w:noProof/>
                <w:webHidden/>
              </w:rPr>
              <w:t>24</w:t>
            </w:r>
            <w:r w:rsidR="00406EFB">
              <w:rPr>
                <w:noProof/>
                <w:webHidden/>
              </w:rPr>
              <w:fldChar w:fldCharType="end"/>
            </w:r>
          </w:hyperlink>
        </w:p>
        <w:p w14:paraId="569942FF" w14:textId="0BDA433A"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49" w:history="1">
            <w:r w:rsidR="00406EFB" w:rsidRPr="0039194C">
              <w:rPr>
                <w:rStyle w:val="Hiperhivatkozs"/>
                <w:noProof/>
              </w:rPr>
              <w:t>6.</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_Toc109906049 \h </w:instrText>
            </w:r>
            <w:r w:rsidR="00406EFB">
              <w:rPr>
                <w:noProof/>
                <w:webHidden/>
              </w:rPr>
            </w:r>
            <w:r w:rsidR="00406EFB">
              <w:rPr>
                <w:noProof/>
                <w:webHidden/>
              </w:rPr>
              <w:fldChar w:fldCharType="separate"/>
            </w:r>
            <w:r w:rsidR="00406EFB">
              <w:rPr>
                <w:noProof/>
                <w:webHidden/>
              </w:rPr>
              <w:t>25</w:t>
            </w:r>
            <w:r w:rsidR="00406EFB">
              <w:rPr>
                <w:noProof/>
                <w:webHidden/>
              </w:rPr>
              <w:fldChar w:fldCharType="end"/>
            </w:r>
          </w:hyperlink>
        </w:p>
        <w:p w14:paraId="50AC2261" w14:textId="20949360" w:rsidR="00406EFB" w:rsidRDefault="005A24F5">
          <w:pPr>
            <w:pStyle w:val="TJ2"/>
            <w:tabs>
              <w:tab w:val="right" w:leader="dot" w:pos="9514"/>
            </w:tabs>
            <w:rPr>
              <w:rFonts w:asciiTheme="minorHAnsi" w:hAnsiTheme="minorHAnsi"/>
              <w:noProof/>
              <w:sz w:val="22"/>
              <w:szCs w:val="22"/>
            </w:rPr>
          </w:pPr>
          <w:hyperlink w:anchor="_Toc109906050" w:history="1">
            <w:r w:rsidR="00406EFB" w:rsidRPr="0039194C">
              <w:rPr>
                <w:rStyle w:val="Hiperhivatkozs"/>
                <w:noProof/>
              </w:rPr>
              <w:t>3.7. Egyéb pénzügyi szolgáltatók</w:t>
            </w:r>
            <w:r w:rsidR="00406EFB">
              <w:rPr>
                <w:noProof/>
                <w:webHidden/>
              </w:rPr>
              <w:tab/>
            </w:r>
            <w:r w:rsidR="00406EFB">
              <w:rPr>
                <w:noProof/>
                <w:webHidden/>
              </w:rPr>
              <w:fldChar w:fldCharType="begin"/>
            </w:r>
            <w:r w:rsidR="00406EFB">
              <w:rPr>
                <w:noProof/>
                <w:webHidden/>
              </w:rPr>
              <w:instrText xml:space="preserve"> PAGEREF _Toc109906050 \h </w:instrText>
            </w:r>
            <w:r w:rsidR="00406EFB">
              <w:rPr>
                <w:noProof/>
                <w:webHidden/>
              </w:rPr>
            </w:r>
            <w:r w:rsidR="00406EFB">
              <w:rPr>
                <w:noProof/>
                <w:webHidden/>
              </w:rPr>
              <w:fldChar w:fldCharType="separate"/>
            </w:r>
            <w:r w:rsidR="00406EFB">
              <w:rPr>
                <w:noProof/>
                <w:webHidden/>
              </w:rPr>
              <w:t>25</w:t>
            </w:r>
            <w:r w:rsidR="00406EFB">
              <w:rPr>
                <w:noProof/>
                <w:webHidden/>
              </w:rPr>
              <w:fldChar w:fldCharType="end"/>
            </w:r>
          </w:hyperlink>
        </w:p>
        <w:p w14:paraId="76AFB2BC" w14:textId="0FDB4B4F"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51"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_Toc109906051 \h </w:instrText>
            </w:r>
            <w:r w:rsidR="00406EFB">
              <w:rPr>
                <w:noProof/>
                <w:webHidden/>
              </w:rPr>
            </w:r>
            <w:r w:rsidR="00406EFB">
              <w:rPr>
                <w:noProof/>
                <w:webHidden/>
              </w:rPr>
              <w:fldChar w:fldCharType="separate"/>
            </w:r>
            <w:r w:rsidR="00406EFB">
              <w:rPr>
                <w:noProof/>
                <w:webHidden/>
              </w:rPr>
              <w:t>25</w:t>
            </w:r>
            <w:r w:rsidR="00406EFB">
              <w:rPr>
                <w:noProof/>
                <w:webHidden/>
              </w:rPr>
              <w:fldChar w:fldCharType="end"/>
            </w:r>
          </w:hyperlink>
        </w:p>
        <w:p w14:paraId="4D68CBC9" w14:textId="5D3DD8B1"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52"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_Toc109906052 \h </w:instrText>
            </w:r>
            <w:r w:rsidR="00406EFB">
              <w:rPr>
                <w:noProof/>
                <w:webHidden/>
              </w:rPr>
            </w:r>
            <w:r w:rsidR="00406EFB">
              <w:rPr>
                <w:noProof/>
                <w:webHidden/>
              </w:rPr>
              <w:fldChar w:fldCharType="separate"/>
            </w:r>
            <w:r w:rsidR="00406EFB">
              <w:rPr>
                <w:noProof/>
                <w:webHidden/>
              </w:rPr>
              <w:t>25</w:t>
            </w:r>
            <w:r w:rsidR="00406EFB">
              <w:rPr>
                <w:noProof/>
                <w:webHidden/>
              </w:rPr>
              <w:fldChar w:fldCharType="end"/>
            </w:r>
          </w:hyperlink>
        </w:p>
        <w:p w14:paraId="485EB0AA" w14:textId="6884D365"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53"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w:t>
            </w:r>
            <w:r w:rsidR="00406EFB">
              <w:rPr>
                <w:noProof/>
                <w:webHidden/>
              </w:rPr>
              <w:tab/>
            </w:r>
            <w:r w:rsidR="00406EFB">
              <w:rPr>
                <w:noProof/>
                <w:webHidden/>
              </w:rPr>
              <w:fldChar w:fldCharType="begin"/>
            </w:r>
            <w:r w:rsidR="00406EFB">
              <w:rPr>
                <w:noProof/>
                <w:webHidden/>
              </w:rPr>
              <w:instrText xml:space="preserve"> PAGEREF _Toc109906053 \h </w:instrText>
            </w:r>
            <w:r w:rsidR="00406EFB">
              <w:rPr>
                <w:noProof/>
                <w:webHidden/>
              </w:rPr>
            </w:r>
            <w:r w:rsidR="00406EFB">
              <w:rPr>
                <w:noProof/>
                <w:webHidden/>
              </w:rPr>
              <w:fldChar w:fldCharType="separate"/>
            </w:r>
            <w:r w:rsidR="00406EFB">
              <w:rPr>
                <w:noProof/>
                <w:webHidden/>
              </w:rPr>
              <w:t>26</w:t>
            </w:r>
            <w:r w:rsidR="00406EFB">
              <w:rPr>
                <w:noProof/>
                <w:webHidden/>
              </w:rPr>
              <w:fldChar w:fldCharType="end"/>
            </w:r>
          </w:hyperlink>
        </w:p>
        <w:p w14:paraId="73AC5102" w14:textId="5376B65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54"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Felügyeleti tevékenység</w:t>
            </w:r>
            <w:r w:rsidR="00406EFB">
              <w:rPr>
                <w:noProof/>
                <w:webHidden/>
              </w:rPr>
              <w:tab/>
            </w:r>
            <w:r w:rsidR="00406EFB">
              <w:rPr>
                <w:noProof/>
                <w:webHidden/>
              </w:rPr>
              <w:fldChar w:fldCharType="begin"/>
            </w:r>
            <w:r w:rsidR="00406EFB">
              <w:rPr>
                <w:noProof/>
                <w:webHidden/>
              </w:rPr>
              <w:instrText xml:space="preserve"> PAGEREF _Toc109906054 \h </w:instrText>
            </w:r>
            <w:r w:rsidR="00406EFB">
              <w:rPr>
                <w:noProof/>
                <w:webHidden/>
              </w:rPr>
            </w:r>
            <w:r w:rsidR="00406EFB">
              <w:rPr>
                <w:noProof/>
                <w:webHidden/>
              </w:rPr>
              <w:fldChar w:fldCharType="separate"/>
            </w:r>
            <w:r w:rsidR="00406EFB">
              <w:rPr>
                <w:noProof/>
                <w:webHidden/>
              </w:rPr>
              <w:t>26</w:t>
            </w:r>
            <w:r w:rsidR="00406EFB">
              <w:rPr>
                <w:noProof/>
                <w:webHidden/>
              </w:rPr>
              <w:fldChar w:fldCharType="end"/>
            </w:r>
          </w:hyperlink>
        </w:p>
        <w:p w14:paraId="34AC9F1B" w14:textId="3D6882A9"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55" w:history="1">
            <w:r w:rsidR="00406EFB" w:rsidRPr="0039194C">
              <w:rPr>
                <w:rStyle w:val="Hiperhivatkozs"/>
                <w:noProof/>
              </w:rPr>
              <w:t>5.</w:t>
            </w:r>
            <w:r w:rsidR="00406EFB">
              <w:rPr>
                <w:rFonts w:asciiTheme="minorHAnsi" w:eastAsiaTheme="minorEastAsia" w:hAnsiTheme="minorHAnsi"/>
                <w:noProof/>
                <w:sz w:val="22"/>
                <w:szCs w:val="22"/>
              </w:rPr>
              <w:tab/>
            </w:r>
            <w:r w:rsidR="00406EFB" w:rsidRPr="0039194C">
              <w:rPr>
                <w:rStyle w:val="Hiperhivatkozs"/>
                <w:noProof/>
              </w:rPr>
              <w:t>Azonosított jogsértések</w:t>
            </w:r>
            <w:r w:rsidR="00406EFB">
              <w:rPr>
                <w:noProof/>
                <w:webHidden/>
              </w:rPr>
              <w:tab/>
            </w:r>
            <w:r w:rsidR="00406EFB">
              <w:rPr>
                <w:noProof/>
                <w:webHidden/>
              </w:rPr>
              <w:fldChar w:fldCharType="begin"/>
            </w:r>
            <w:r w:rsidR="00406EFB">
              <w:rPr>
                <w:noProof/>
                <w:webHidden/>
              </w:rPr>
              <w:instrText xml:space="preserve"> PAGEREF _Toc109906055 \h </w:instrText>
            </w:r>
            <w:r w:rsidR="00406EFB">
              <w:rPr>
                <w:noProof/>
                <w:webHidden/>
              </w:rPr>
            </w:r>
            <w:r w:rsidR="00406EFB">
              <w:rPr>
                <w:noProof/>
                <w:webHidden/>
              </w:rPr>
              <w:fldChar w:fldCharType="separate"/>
            </w:r>
            <w:r w:rsidR="00406EFB">
              <w:rPr>
                <w:noProof/>
                <w:webHidden/>
              </w:rPr>
              <w:t>27</w:t>
            </w:r>
            <w:r w:rsidR="00406EFB">
              <w:rPr>
                <w:noProof/>
                <w:webHidden/>
              </w:rPr>
              <w:fldChar w:fldCharType="end"/>
            </w:r>
          </w:hyperlink>
        </w:p>
        <w:p w14:paraId="5D609F81" w14:textId="51CE40C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56" w:history="1">
            <w:r w:rsidR="00406EFB" w:rsidRPr="0039194C">
              <w:rPr>
                <w:rStyle w:val="Hiperhivatkozs"/>
                <w:noProof/>
              </w:rPr>
              <w:t>6.</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_Toc109906056 \h </w:instrText>
            </w:r>
            <w:r w:rsidR="00406EFB">
              <w:rPr>
                <w:noProof/>
                <w:webHidden/>
              </w:rPr>
            </w:r>
            <w:r w:rsidR="00406EFB">
              <w:rPr>
                <w:noProof/>
                <w:webHidden/>
              </w:rPr>
              <w:fldChar w:fldCharType="separate"/>
            </w:r>
            <w:r w:rsidR="00406EFB">
              <w:rPr>
                <w:noProof/>
                <w:webHidden/>
              </w:rPr>
              <w:t>27</w:t>
            </w:r>
            <w:r w:rsidR="00406EFB">
              <w:rPr>
                <w:noProof/>
                <w:webHidden/>
              </w:rPr>
              <w:fldChar w:fldCharType="end"/>
            </w:r>
          </w:hyperlink>
        </w:p>
        <w:p w14:paraId="5ED409C1" w14:textId="6915CA75" w:rsidR="00406EFB" w:rsidRDefault="005A24F5">
          <w:pPr>
            <w:pStyle w:val="TJ2"/>
            <w:tabs>
              <w:tab w:val="right" w:leader="dot" w:pos="9514"/>
            </w:tabs>
            <w:rPr>
              <w:rFonts w:asciiTheme="minorHAnsi" w:hAnsiTheme="minorHAnsi"/>
              <w:noProof/>
              <w:sz w:val="22"/>
              <w:szCs w:val="22"/>
            </w:rPr>
          </w:pPr>
          <w:hyperlink w:anchor="_Toc109906057" w:history="1">
            <w:r w:rsidR="00406EFB" w:rsidRPr="0039194C">
              <w:rPr>
                <w:rStyle w:val="Hiperhivatkozs"/>
                <w:noProof/>
              </w:rPr>
              <w:t>3.8. Életbiztosítók</w:t>
            </w:r>
            <w:r w:rsidR="00406EFB">
              <w:rPr>
                <w:noProof/>
                <w:webHidden/>
              </w:rPr>
              <w:tab/>
            </w:r>
            <w:r w:rsidR="00406EFB">
              <w:rPr>
                <w:noProof/>
                <w:webHidden/>
              </w:rPr>
              <w:fldChar w:fldCharType="begin"/>
            </w:r>
            <w:r w:rsidR="00406EFB">
              <w:rPr>
                <w:noProof/>
                <w:webHidden/>
              </w:rPr>
              <w:instrText xml:space="preserve"> PAGEREF _Toc109906057 \h </w:instrText>
            </w:r>
            <w:r w:rsidR="00406EFB">
              <w:rPr>
                <w:noProof/>
                <w:webHidden/>
              </w:rPr>
            </w:r>
            <w:r w:rsidR="00406EFB">
              <w:rPr>
                <w:noProof/>
                <w:webHidden/>
              </w:rPr>
              <w:fldChar w:fldCharType="separate"/>
            </w:r>
            <w:r w:rsidR="00406EFB">
              <w:rPr>
                <w:noProof/>
                <w:webHidden/>
              </w:rPr>
              <w:t>27</w:t>
            </w:r>
            <w:r w:rsidR="00406EFB">
              <w:rPr>
                <w:noProof/>
                <w:webHidden/>
              </w:rPr>
              <w:fldChar w:fldCharType="end"/>
            </w:r>
          </w:hyperlink>
        </w:p>
        <w:p w14:paraId="07870E8D" w14:textId="48BCBF20"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58"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_Toc109906058 \h </w:instrText>
            </w:r>
            <w:r w:rsidR="00406EFB">
              <w:rPr>
                <w:noProof/>
                <w:webHidden/>
              </w:rPr>
            </w:r>
            <w:r w:rsidR="00406EFB">
              <w:rPr>
                <w:noProof/>
                <w:webHidden/>
              </w:rPr>
              <w:fldChar w:fldCharType="separate"/>
            </w:r>
            <w:r w:rsidR="00406EFB">
              <w:rPr>
                <w:noProof/>
                <w:webHidden/>
              </w:rPr>
              <w:t>27</w:t>
            </w:r>
            <w:r w:rsidR="00406EFB">
              <w:rPr>
                <w:noProof/>
                <w:webHidden/>
              </w:rPr>
              <w:fldChar w:fldCharType="end"/>
            </w:r>
          </w:hyperlink>
        </w:p>
        <w:p w14:paraId="6345FE1A" w14:textId="650548F7"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59"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_Toc109906059 \h </w:instrText>
            </w:r>
            <w:r w:rsidR="00406EFB">
              <w:rPr>
                <w:noProof/>
                <w:webHidden/>
              </w:rPr>
            </w:r>
            <w:r w:rsidR="00406EFB">
              <w:rPr>
                <w:noProof/>
                <w:webHidden/>
              </w:rPr>
              <w:fldChar w:fldCharType="separate"/>
            </w:r>
            <w:r w:rsidR="00406EFB">
              <w:rPr>
                <w:noProof/>
                <w:webHidden/>
              </w:rPr>
              <w:t>27</w:t>
            </w:r>
            <w:r w:rsidR="00406EFB">
              <w:rPr>
                <w:noProof/>
                <w:webHidden/>
              </w:rPr>
              <w:fldChar w:fldCharType="end"/>
            </w:r>
          </w:hyperlink>
        </w:p>
        <w:p w14:paraId="0F322535" w14:textId="5E64545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60"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w:t>
            </w:r>
            <w:r w:rsidR="00406EFB">
              <w:rPr>
                <w:noProof/>
                <w:webHidden/>
              </w:rPr>
              <w:tab/>
            </w:r>
            <w:r w:rsidR="00406EFB">
              <w:rPr>
                <w:noProof/>
                <w:webHidden/>
              </w:rPr>
              <w:fldChar w:fldCharType="begin"/>
            </w:r>
            <w:r w:rsidR="00406EFB">
              <w:rPr>
                <w:noProof/>
                <w:webHidden/>
              </w:rPr>
              <w:instrText xml:space="preserve"> PAGEREF _Toc109906060 \h </w:instrText>
            </w:r>
            <w:r w:rsidR="00406EFB">
              <w:rPr>
                <w:noProof/>
                <w:webHidden/>
              </w:rPr>
            </w:r>
            <w:r w:rsidR="00406EFB">
              <w:rPr>
                <w:noProof/>
                <w:webHidden/>
              </w:rPr>
              <w:fldChar w:fldCharType="separate"/>
            </w:r>
            <w:r w:rsidR="00406EFB">
              <w:rPr>
                <w:noProof/>
                <w:webHidden/>
              </w:rPr>
              <w:t>28</w:t>
            </w:r>
            <w:r w:rsidR="00406EFB">
              <w:rPr>
                <w:noProof/>
                <w:webHidden/>
              </w:rPr>
              <w:fldChar w:fldCharType="end"/>
            </w:r>
          </w:hyperlink>
        </w:p>
        <w:p w14:paraId="11CA1C1A" w14:textId="3D5BC4BF"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61"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Felügyeleti tevékenység</w:t>
            </w:r>
            <w:r w:rsidR="00406EFB">
              <w:rPr>
                <w:noProof/>
                <w:webHidden/>
              </w:rPr>
              <w:tab/>
            </w:r>
            <w:r w:rsidR="00406EFB">
              <w:rPr>
                <w:noProof/>
                <w:webHidden/>
              </w:rPr>
              <w:fldChar w:fldCharType="begin"/>
            </w:r>
            <w:r w:rsidR="00406EFB">
              <w:rPr>
                <w:noProof/>
                <w:webHidden/>
              </w:rPr>
              <w:instrText xml:space="preserve"> PAGEREF _Toc109906061 \h </w:instrText>
            </w:r>
            <w:r w:rsidR="00406EFB">
              <w:rPr>
                <w:noProof/>
                <w:webHidden/>
              </w:rPr>
            </w:r>
            <w:r w:rsidR="00406EFB">
              <w:rPr>
                <w:noProof/>
                <w:webHidden/>
              </w:rPr>
              <w:fldChar w:fldCharType="separate"/>
            </w:r>
            <w:r w:rsidR="00406EFB">
              <w:rPr>
                <w:noProof/>
                <w:webHidden/>
              </w:rPr>
              <w:t>28</w:t>
            </w:r>
            <w:r w:rsidR="00406EFB">
              <w:rPr>
                <w:noProof/>
                <w:webHidden/>
              </w:rPr>
              <w:fldChar w:fldCharType="end"/>
            </w:r>
          </w:hyperlink>
        </w:p>
        <w:p w14:paraId="11A4CD9E" w14:textId="2DAB34F4"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62" w:history="1">
            <w:r w:rsidR="00406EFB" w:rsidRPr="0039194C">
              <w:rPr>
                <w:rStyle w:val="Hiperhivatkozs"/>
                <w:noProof/>
              </w:rPr>
              <w:t>5.</w:t>
            </w:r>
            <w:r w:rsidR="00406EFB">
              <w:rPr>
                <w:rFonts w:asciiTheme="minorHAnsi" w:eastAsiaTheme="minorEastAsia" w:hAnsiTheme="minorHAnsi"/>
                <w:noProof/>
                <w:sz w:val="22"/>
                <w:szCs w:val="22"/>
              </w:rPr>
              <w:tab/>
            </w:r>
            <w:r w:rsidR="00406EFB" w:rsidRPr="0039194C">
              <w:rPr>
                <w:rStyle w:val="Hiperhivatkozs"/>
                <w:noProof/>
              </w:rPr>
              <w:t>Azonosított jogsértések</w:t>
            </w:r>
            <w:r w:rsidR="00406EFB">
              <w:rPr>
                <w:noProof/>
                <w:webHidden/>
              </w:rPr>
              <w:tab/>
            </w:r>
            <w:r w:rsidR="00406EFB">
              <w:rPr>
                <w:noProof/>
                <w:webHidden/>
              </w:rPr>
              <w:fldChar w:fldCharType="begin"/>
            </w:r>
            <w:r w:rsidR="00406EFB">
              <w:rPr>
                <w:noProof/>
                <w:webHidden/>
              </w:rPr>
              <w:instrText xml:space="preserve"> PAGEREF _Toc109906062 \h </w:instrText>
            </w:r>
            <w:r w:rsidR="00406EFB">
              <w:rPr>
                <w:noProof/>
                <w:webHidden/>
              </w:rPr>
            </w:r>
            <w:r w:rsidR="00406EFB">
              <w:rPr>
                <w:noProof/>
                <w:webHidden/>
              </w:rPr>
              <w:fldChar w:fldCharType="separate"/>
            </w:r>
            <w:r w:rsidR="00406EFB">
              <w:rPr>
                <w:noProof/>
                <w:webHidden/>
              </w:rPr>
              <w:t>28</w:t>
            </w:r>
            <w:r w:rsidR="00406EFB">
              <w:rPr>
                <w:noProof/>
                <w:webHidden/>
              </w:rPr>
              <w:fldChar w:fldCharType="end"/>
            </w:r>
          </w:hyperlink>
        </w:p>
        <w:p w14:paraId="7A70D467" w14:textId="4E34C4B3"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63" w:history="1">
            <w:r w:rsidR="00406EFB" w:rsidRPr="0039194C">
              <w:rPr>
                <w:rStyle w:val="Hiperhivatkozs"/>
                <w:noProof/>
              </w:rPr>
              <w:t>6.</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_Toc109906063 \h </w:instrText>
            </w:r>
            <w:r w:rsidR="00406EFB">
              <w:rPr>
                <w:noProof/>
                <w:webHidden/>
              </w:rPr>
            </w:r>
            <w:r w:rsidR="00406EFB">
              <w:rPr>
                <w:noProof/>
                <w:webHidden/>
              </w:rPr>
              <w:fldChar w:fldCharType="separate"/>
            </w:r>
            <w:r w:rsidR="00406EFB">
              <w:rPr>
                <w:noProof/>
                <w:webHidden/>
              </w:rPr>
              <w:t>29</w:t>
            </w:r>
            <w:r w:rsidR="00406EFB">
              <w:rPr>
                <w:noProof/>
                <w:webHidden/>
              </w:rPr>
              <w:fldChar w:fldCharType="end"/>
            </w:r>
          </w:hyperlink>
        </w:p>
        <w:p w14:paraId="5591617D" w14:textId="41EAD13A" w:rsidR="00406EFB" w:rsidRDefault="005A24F5">
          <w:pPr>
            <w:pStyle w:val="TJ2"/>
            <w:tabs>
              <w:tab w:val="right" w:leader="dot" w:pos="9514"/>
            </w:tabs>
            <w:rPr>
              <w:rFonts w:asciiTheme="minorHAnsi" w:hAnsiTheme="minorHAnsi"/>
              <w:noProof/>
              <w:sz w:val="22"/>
              <w:szCs w:val="22"/>
            </w:rPr>
          </w:pPr>
          <w:hyperlink w:anchor="_Toc109906064" w:history="1">
            <w:r w:rsidR="00406EFB" w:rsidRPr="0039194C">
              <w:rPr>
                <w:rStyle w:val="Hiperhivatkozs"/>
                <w:noProof/>
              </w:rPr>
              <w:t>3.9. Életbiztosítás közvetítő</w:t>
            </w:r>
            <w:r w:rsidR="00406EFB">
              <w:rPr>
                <w:noProof/>
                <w:webHidden/>
              </w:rPr>
              <w:tab/>
            </w:r>
            <w:r w:rsidR="00406EFB">
              <w:rPr>
                <w:noProof/>
                <w:webHidden/>
              </w:rPr>
              <w:fldChar w:fldCharType="begin"/>
            </w:r>
            <w:r w:rsidR="00406EFB">
              <w:rPr>
                <w:noProof/>
                <w:webHidden/>
              </w:rPr>
              <w:instrText xml:space="preserve"> PAGEREF _Toc109906064 \h </w:instrText>
            </w:r>
            <w:r w:rsidR="00406EFB">
              <w:rPr>
                <w:noProof/>
                <w:webHidden/>
              </w:rPr>
            </w:r>
            <w:r w:rsidR="00406EFB">
              <w:rPr>
                <w:noProof/>
                <w:webHidden/>
              </w:rPr>
              <w:fldChar w:fldCharType="separate"/>
            </w:r>
            <w:r w:rsidR="00406EFB">
              <w:rPr>
                <w:noProof/>
                <w:webHidden/>
              </w:rPr>
              <w:t>29</w:t>
            </w:r>
            <w:r w:rsidR="00406EFB">
              <w:rPr>
                <w:noProof/>
                <w:webHidden/>
              </w:rPr>
              <w:fldChar w:fldCharType="end"/>
            </w:r>
          </w:hyperlink>
        </w:p>
        <w:p w14:paraId="4555CBCE" w14:textId="47530F17"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65"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_Toc109906065 \h </w:instrText>
            </w:r>
            <w:r w:rsidR="00406EFB">
              <w:rPr>
                <w:noProof/>
                <w:webHidden/>
              </w:rPr>
            </w:r>
            <w:r w:rsidR="00406EFB">
              <w:rPr>
                <w:noProof/>
                <w:webHidden/>
              </w:rPr>
              <w:fldChar w:fldCharType="separate"/>
            </w:r>
            <w:r w:rsidR="00406EFB">
              <w:rPr>
                <w:noProof/>
                <w:webHidden/>
              </w:rPr>
              <w:t>29</w:t>
            </w:r>
            <w:r w:rsidR="00406EFB">
              <w:rPr>
                <w:noProof/>
                <w:webHidden/>
              </w:rPr>
              <w:fldChar w:fldCharType="end"/>
            </w:r>
          </w:hyperlink>
        </w:p>
        <w:p w14:paraId="07787E0C" w14:textId="7179502A"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66"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_Toc109906066 \h </w:instrText>
            </w:r>
            <w:r w:rsidR="00406EFB">
              <w:rPr>
                <w:noProof/>
                <w:webHidden/>
              </w:rPr>
            </w:r>
            <w:r w:rsidR="00406EFB">
              <w:rPr>
                <w:noProof/>
                <w:webHidden/>
              </w:rPr>
              <w:fldChar w:fldCharType="separate"/>
            </w:r>
            <w:r w:rsidR="00406EFB">
              <w:rPr>
                <w:noProof/>
                <w:webHidden/>
              </w:rPr>
              <w:t>29</w:t>
            </w:r>
            <w:r w:rsidR="00406EFB">
              <w:rPr>
                <w:noProof/>
                <w:webHidden/>
              </w:rPr>
              <w:fldChar w:fldCharType="end"/>
            </w:r>
          </w:hyperlink>
        </w:p>
        <w:p w14:paraId="34884E87" w14:textId="167555D2"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67"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w:t>
            </w:r>
            <w:r w:rsidR="00406EFB">
              <w:rPr>
                <w:noProof/>
                <w:webHidden/>
              </w:rPr>
              <w:tab/>
            </w:r>
            <w:r w:rsidR="00406EFB">
              <w:rPr>
                <w:noProof/>
                <w:webHidden/>
              </w:rPr>
              <w:fldChar w:fldCharType="begin"/>
            </w:r>
            <w:r w:rsidR="00406EFB">
              <w:rPr>
                <w:noProof/>
                <w:webHidden/>
              </w:rPr>
              <w:instrText xml:space="preserve"> PAGEREF _Toc109906067 \h </w:instrText>
            </w:r>
            <w:r w:rsidR="00406EFB">
              <w:rPr>
                <w:noProof/>
                <w:webHidden/>
              </w:rPr>
            </w:r>
            <w:r w:rsidR="00406EFB">
              <w:rPr>
                <w:noProof/>
                <w:webHidden/>
              </w:rPr>
              <w:fldChar w:fldCharType="separate"/>
            </w:r>
            <w:r w:rsidR="00406EFB">
              <w:rPr>
                <w:noProof/>
                <w:webHidden/>
              </w:rPr>
              <w:t>30</w:t>
            </w:r>
            <w:r w:rsidR="00406EFB">
              <w:rPr>
                <w:noProof/>
                <w:webHidden/>
              </w:rPr>
              <w:fldChar w:fldCharType="end"/>
            </w:r>
          </w:hyperlink>
        </w:p>
        <w:p w14:paraId="6C396569" w14:textId="0B6D2D85"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68"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Felügyeleti tevékenység</w:t>
            </w:r>
            <w:r w:rsidR="00406EFB">
              <w:rPr>
                <w:noProof/>
                <w:webHidden/>
              </w:rPr>
              <w:tab/>
            </w:r>
            <w:r w:rsidR="00406EFB">
              <w:rPr>
                <w:noProof/>
                <w:webHidden/>
              </w:rPr>
              <w:fldChar w:fldCharType="begin"/>
            </w:r>
            <w:r w:rsidR="00406EFB">
              <w:rPr>
                <w:noProof/>
                <w:webHidden/>
              </w:rPr>
              <w:instrText xml:space="preserve"> PAGEREF _Toc109906068 \h </w:instrText>
            </w:r>
            <w:r w:rsidR="00406EFB">
              <w:rPr>
                <w:noProof/>
                <w:webHidden/>
              </w:rPr>
            </w:r>
            <w:r w:rsidR="00406EFB">
              <w:rPr>
                <w:noProof/>
                <w:webHidden/>
              </w:rPr>
              <w:fldChar w:fldCharType="separate"/>
            </w:r>
            <w:r w:rsidR="00406EFB">
              <w:rPr>
                <w:noProof/>
                <w:webHidden/>
              </w:rPr>
              <w:t>30</w:t>
            </w:r>
            <w:r w:rsidR="00406EFB">
              <w:rPr>
                <w:noProof/>
                <w:webHidden/>
              </w:rPr>
              <w:fldChar w:fldCharType="end"/>
            </w:r>
          </w:hyperlink>
        </w:p>
        <w:p w14:paraId="70F45B36" w14:textId="40C8E14A"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69" w:history="1">
            <w:r w:rsidR="00406EFB" w:rsidRPr="0039194C">
              <w:rPr>
                <w:rStyle w:val="Hiperhivatkozs"/>
                <w:noProof/>
              </w:rPr>
              <w:t>5.</w:t>
            </w:r>
            <w:r w:rsidR="00406EFB">
              <w:rPr>
                <w:rFonts w:asciiTheme="minorHAnsi" w:eastAsiaTheme="minorEastAsia" w:hAnsiTheme="minorHAnsi"/>
                <w:noProof/>
                <w:sz w:val="22"/>
                <w:szCs w:val="22"/>
              </w:rPr>
              <w:tab/>
            </w:r>
            <w:r w:rsidR="00406EFB" w:rsidRPr="0039194C">
              <w:rPr>
                <w:rStyle w:val="Hiperhivatkozs"/>
                <w:noProof/>
              </w:rPr>
              <w:t>Azonosított jogsértések</w:t>
            </w:r>
            <w:r w:rsidR="00406EFB">
              <w:rPr>
                <w:noProof/>
                <w:webHidden/>
              </w:rPr>
              <w:tab/>
            </w:r>
            <w:r w:rsidR="00406EFB">
              <w:rPr>
                <w:noProof/>
                <w:webHidden/>
              </w:rPr>
              <w:fldChar w:fldCharType="begin"/>
            </w:r>
            <w:r w:rsidR="00406EFB">
              <w:rPr>
                <w:noProof/>
                <w:webHidden/>
              </w:rPr>
              <w:instrText xml:space="preserve"> PAGEREF _Toc109906069 \h </w:instrText>
            </w:r>
            <w:r w:rsidR="00406EFB">
              <w:rPr>
                <w:noProof/>
                <w:webHidden/>
              </w:rPr>
            </w:r>
            <w:r w:rsidR="00406EFB">
              <w:rPr>
                <w:noProof/>
                <w:webHidden/>
              </w:rPr>
              <w:fldChar w:fldCharType="separate"/>
            </w:r>
            <w:r w:rsidR="00406EFB">
              <w:rPr>
                <w:noProof/>
                <w:webHidden/>
              </w:rPr>
              <w:t>30</w:t>
            </w:r>
            <w:r w:rsidR="00406EFB">
              <w:rPr>
                <w:noProof/>
                <w:webHidden/>
              </w:rPr>
              <w:fldChar w:fldCharType="end"/>
            </w:r>
          </w:hyperlink>
        </w:p>
        <w:p w14:paraId="695C2060" w14:textId="6C182819"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70" w:history="1">
            <w:r w:rsidR="00406EFB" w:rsidRPr="0039194C">
              <w:rPr>
                <w:rStyle w:val="Hiperhivatkozs"/>
                <w:noProof/>
              </w:rPr>
              <w:t>6.</w:t>
            </w:r>
            <w:r w:rsidR="00406EFB">
              <w:rPr>
                <w:rFonts w:asciiTheme="minorHAnsi" w:eastAsiaTheme="minorEastAsia" w:hAnsiTheme="minorHAnsi"/>
                <w:noProof/>
                <w:sz w:val="22"/>
                <w:szCs w:val="22"/>
              </w:rPr>
              <w:tab/>
            </w:r>
            <w:r w:rsidR="00406EFB" w:rsidRPr="0039194C">
              <w:rPr>
                <w:rStyle w:val="Hiperhivatkozs"/>
                <w:noProof/>
              </w:rPr>
              <w:t>Alszektorok</w:t>
            </w:r>
            <w:r w:rsidR="00406EFB">
              <w:rPr>
                <w:noProof/>
                <w:webHidden/>
              </w:rPr>
              <w:tab/>
            </w:r>
            <w:r w:rsidR="00406EFB">
              <w:rPr>
                <w:noProof/>
                <w:webHidden/>
              </w:rPr>
              <w:fldChar w:fldCharType="begin"/>
            </w:r>
            <w:r w:rsidR="00406EFB">
              <w:rPr>
                <w:noProof/>
                <w:webHidden/>
              </w:rPr>
              <w:instrText xml:space="preserve"> PAGEREF _Toc109906070 \h </w:instrText>
            </w:r>
            <w:r w:rsidR="00406EFB">
              <w:rPr>
                <w:noProof/>
                <w:webHidden/>
              </w:rPr>
            </w:r>
            <w:r w:rsidR="00406EFB">
              <w:rPr>
                <w:noProof/>
                <w:webHidden/>
              </w:rPr>
              <w:fldChar w:fldCharType="separate"/>
            </w:r>
            <w:r w:rsidR="00406EFB">
              <w:rPr>
                <w:noProof/>
                <w:webHidden/>
              </w:rPr>
              <w:t>31</w:t>
            </w:r>
            <w:r w:rsidR="00406EFB">
              <w:rPr>
                <w:noProof/>
                <w:webHidden/>
              </w:rPr>
              <w:fldChar w:fldCharType="end"/>
            </w:r>
          </w:hyperlink>
        </w:p>
        <w:p w14:paraId="0E52E329" w14:textId="5098B6D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71" w:history="1">
            <w:r w:rsidR="00406EFB" w:rsidRPr="0039194C">
              <w:rPr>
                <w:rStyle w:val="Hiperhivatkozs"/>
                <w:noProof/>
              </w:rPr>
              <w:t>7.</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_Toc109906071 \h </w:instrText>
            </w:r>
            <w:r w:rsidR="00406EFB">
              <w:rPr>
                <w:noProof/>
                <w:webHidden/>
              </w:rPr>
            </w:r>
            <w:r w:rsidR="00406EFB">
              <w:rPr>
                <w:noProof/>
                <w:webHidden/>
              </w:rPr>
              <w:fldChar w:fldCharType="separate"/>
            </w:r>
            <w:r w:rsidR="00406EFB">
              <w:rPr>
                <w:noProof/>
                <w:webHidden/>
              </w:rPr>
              <w:t>32</w:t>
            </w:r>
            <w:r w:rsidR="00406EFB">
              <w:rPr>
                <w:noProof/>
                <w:webHidden/>
              </w:rPr>
              <w:fldChar w:fldCharType="end"/>
            </w:r>
          </w:hyperlink>
        </w:p>
        <w:p w14:paraId="1CE15F08" w14:textId="36BA0081" w:rsidR="00406EFB" w:rsidRDefault="005A24F5">
          <w:pPr>
            <w:pStyle w:val="TJ2"/>
            <w:tabs>
              <w:tab w:val="right" w:leader="dot" w:pos="9514"/>
            </w:tabs>
            <w:rPr>
              <w:rFonts w:asciiTheme="minorHAnsi" w:hAnsiTheme="minorHAnsi"/>
              <w:noProof/>
              <w:sz w:val="22"/>
              <w:szCs w:val="22"/>
            </w:rPr>
          </w:pPr>
          <w:hyperlink w:anchor="_Toc109906072" w:history="1">
            <w:r w:rsidR="00406EFB" w:rsidRPr="0039194C">
              <w:rPr>
                <w:rStyle w:val="Hiperhivatkozs"/>
                <w:bCs/>
                <w:noProof/>
              </w:rPr>
              <w:t>3.10.</w:t>
            </w:r>
            <w:r w:rsidR="00406EFB" w:rsidRPr="0039194C">
              <w:rPr>
                <w:rStyle w:val="Hiperhivatkozs"/>
                <w:noProof/>
              </w:rPr>
              <w:t xml:space="preserve"> Bizalmi vagyonkezelők</w:t>
            </w:r>
            <w:r w:rsidR="00406EFB">
              <w:rPr>
                <w:noProof/>
                <w:webHidden/>
              </w:rPr>
              <w:tab/>
            </w:r>
            <w:r w:rsidR="00406EFB">
              <w:rPr>
                <w:noProof/>
                <w:webHidden/>
              </w:rPr>
              <w:fldChar w:fldCharType="begin"/>
            </w:r>
            <w:r w:rsidR="00406EFB">
              <w:rPr>
                <w:noProof/>
                <w:webHidden/>
              </w:rPr>
              <w:instrText xml:space="preserve"> PAGEREF _Toc109906072 \h </w:instrText>
            </w:r>
            <w:r w:rsidR="00406EFB">
              <w:rPr>
                <w:noProof/>
                <w:webHidden/>
              </w:rPr>
            </w:r>
            <w:r w:rsidR="00406EFB">
              <w:rPr>
                <w:noProof/>
                <w:webHidden/>
              </w:rPr>
              <w:fldChar w:fldCharType="separate"/>
            </w:r>
            <w:r w:rsidR="00406EFB">
              <w:rPr>
                <w:noProof/>
                <w:webHidden/>
              </w:rPr>
              <w:t>32</w:t>
            </w:r>
            <w:r w:rsidR="00406EFB">
              <w:rPr>
                <w:noProof/>
                <w:webHidden/>
              </w:rPr>
              <w:fldChar w:fldCharType="end"/>
            </w:r>
          </w:hyperlink>
        </w:p>
        <w:p w14:paraId="0D078628" w14:textId="491B4858"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73"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_Toc109906073 \h </w:instrText>
            </w:r>
            <w:r w:rsidR="00406EFB">
              <w:rPr>
                <w:noProof/>
                <w:webHidden/>
              </w:rPr>
            </w:r>
            <w:r w:rsidR="00406EFB">
              <w:rPr>
                <w:noProof/>
                <w:webHidden/>
              </w:rPr>
              <w:fldChar w:fldCharType="separate"/>
            </w:r>
            <w:r w:rsidR="00406EFB">
              <w:rPr>
                <w:noProof/>
                <w:webHidden/>
              </w:rPr>
              <w:t>32</w:t>
            </w:r>
            <w:r w:rsidR="00406EFB">
              <w:rPr>
                <w:noProof/>
                <w:webHidden/>
              </w:rPr>
              <w:fldChar w:fldCharType="end"/>
            </w:r>
          </w:hyperlink>
        </w:p>
        <w:p w14:paraId="74B2749C" w14:textId="167E8A7D"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74"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_Toc109906074 \h </w:instrText>
            </w:r>
            <w:r w:rsidR="00406EFB">
              <w:rPr>
                <w:noProof/>
                <w:webHidden/>
              </w:rPr>
            </w:r>
            <w:r w:rsidR="00406EFB">
              <w:rPr>
                <w:noProof/>
                <w:webHidden/>
              </w:rPr>
              <w:fldChar w:fldCharType="separate"/>
            </w:r>
            <w:r w:rsidR="00406EFB">
              <w:rPr>
                <w:noProof/>
                <w:webHidden/>
              </w:rPr>
              <w:t>33</w:t>
            </w:r>
            <w:r w:rsidR="00406EFB">
              <w:rPr>
                <w:noProof/>
                <w:webHidden/>
              </w:rPr>
              <w:fldChar w:fldCharType="end"/>
            </w:r>
          </w:hyperlink>
        </w:p>
        <w:p w14:paraId="7D307AD5" w14:textId="4AB08355"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75"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 felügyeleti tevékenység, azonosított jogsértések</w:t>
            </w:r>
            <w:r w:rsidR="00406EFB">
              <w:rPr>
                <w:noProof/>
                <w:webHidden/>
              </w:rPr>
              <w:tab/>
            </w:r>
            <w:r w:rsidR="00406EFB">
              <w:rPr>
                <w:noProof/>
                <w:webHidden/>
              </w:rPr>
              <w:fldChar w:fldCharType="begin"/>
            </w:r>
            <w:r w:rsidR="00406EFB">
              <w:rPr>
                <w:noProof/>
                <w:webHidden/>
              </w:rPr>
              <w:instrText xml:space="preserve"> PAGEREF _Toc109906075 \h </w:instrText>
            </w:r>
            <w:r w:rsidR="00406EFB">
              <w:rPr>
                <w:noProof/>
                <w:webHidden/>
              </w:rPr>
            </w:r>
            <w:r w:rsidR="00406EFB">
              <w:rPr>
                <w:noProof/>
                <w:webHidden/>
              </w:rPr>
              <w:fldChar w:fldCharType="separate"/>
            </w:r>
            <w:r w:rsidR="00406EFB">
              <w:rPr>
                <w:noProof/>
                <w:webHidden/>
              </w:rPr>
              <w:t>33</w:t>
            </w:r>
            <w:r w:rsidR="00406EFB">
              <w:rPr>
                <w:noProof/>
                <w:webHidden/>
              </w:rPr>
              <w:fldChar w:fldCharType="end"/>
            </w:r>
          </w:hyperlink>
        </w:p>
        <w:p w14:paraId="47E52874" w14:textId="5DE72885"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76"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_Toc109906076 \h </w:instrText>
            </w:r>
            <w:r w:rsidR="00406EFB">
              <w:rPr>
                <w:noProof/>
                <w:webHidden/>
              </w:rPr>
            </w:r>
            <w:r w:rsidR="00406EFB">
              <w:rPr>
                <w:noProof/>
                <w:webHidden/>
              </w:rPr>
              <w:fldChar w:fldCharType="separate"/>
            </w:r>
            <w:r w:rsidR="00406EFB">
              <w:rPr>
                <w:noProof/>
                <w:webHidden/>
              </w:rPr>
              <w:t>34</w:t>
            </w:r>
            <w:r w:rsidR="00406EFB">
              <w:rPr>
                <w:noProof/>
                <w:webHidden/>
              </w:rPr>
              <w:fldChar w:fldCharType="end"/>
            </w:r>
          </w:hyperlink>
        </w:p>
        <w:p w14:paraId="3D4DB359" w14:textId="073052FA" w:rsidR="00406EFB" w:rsidRDefault="005A24F5">
          <w:pPr>
            <w:pStyle w:val="TJ2"/>
            <w:tabs>
              <w:tab w:val="right" w:leader="dot" w:pos="9514"/>
            </w:tabs>
            <w:rPr>
              <w:rFonts w:asciiTheme="minorHAnsi" w:hAnsiTheme="minorHAnsi"/>
              <w:noProof/>
              <w:sz w:val="22"/>
              <w:szCs w:val="22"/>
            </w:rPr>
          </w:pPr>
          <w:hyperlink w:anchor="_Toc109906077" w:history="1">
            <w:r w:rsidR="00406EFB" w:rsidRPr="0039194C">
              <w:rPr>
                <w:rStyle w:val="Hiperhivatkozs"/>
                <w:noProof/>
              </w:rPr>
              <w:t>3.11. Pénztárak</w:t>
            </w:r>
            <w:r w:rsidR="00406EFB">
              <w:rPr>
                <w:noProof/>
                <w:webHidden/>
              </w:rPr>
              <w:tab/>
            </w:r>
            <w:r w:rsidR="00406EFB">
              <w:rPr>
                <w:noProof/>
                <w:webHidden/>
              </w:rPr>
              <w:fldChar w:fldCharType="begin"/>
            </w:r>
            <w:r w:rsidR="00406EFB">
              <w:rPr>
                <w:noProof/>
                <w:webHidden/>
              </w:rPr>
              <w:instrText xml:space="preserve"> PAGEREF _Toc109906077 \h </w:instrText>
            </w:r>
            <w:r w:rsidR="00406EFB">
              <w:rPr>
                <w:noProof/>
                <w:webHidden/>
              </w:rPr>
            </w:r>
            <w:r w:rsidR="00406EFB">
              <w:rPr>
                <w:noProof/>
                <w:webHidden/>
              </w:rPr>
              <w:fldChar w:fldCharType="separate"/>
            </w:r>
            <w:r w:rsidR="00406EFB">
              <w:rPr>
                <w:noProof/>
                <w:webHidden/>
              </w:rPr>
              <w:t>34</w:t>
            </w:r>
            <w:r w:rsidR="00406EFB">
              <w:rPr>
                <w:noProof/>
                <w:webHidden/>
              </w:rPr>
              <w:fldChar w:fldCharType="end"/>
            </w:r>
          </w:hyperlink>
        </w:p>
        <w:p w14:paraId="68E62290" w14:textId="0C8CD02F"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78"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_Toc109906078 \h </w:instrText>
            </w:r>
            <w:r w:rsidR="00406EFB">
              <w:rPr>
                <w:noProof/>
                <w:webHidden/>
              </w:rPr>
            </w:r>
            <w:r w:rsidR="00406EFB">
              <w:rPr>
                <w:noProof/>
                <w:webHidden/>
              </w:rPr>
              <w:fldChar w:fldCharType="separate"/>
            </w:r>
            <w:r w:rsidR="00406EFB">
              <w:rPr>
                <w:noProof/>
                <w:webHidden/>
              </w:rPr>
              <w:t>34</w:t>
            </w:r>
            <w:r w:rsidR="00406EFB">
              <w:rPr>
                <w:noProof/>
                <w:webHidden/>
              </w:rPr>
              <w:fldChar w:fldCharType="end"/>
            </w:r>
          </w:hyperlink>
        </w:p>
        <w:p w14:paraId="5FC8E838" w14:textId="43F397E6"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79"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_Toc109906079 \h </w:instrText>
            </w:r>
            <w:r w:rsidR="00406EFB">
              <w:rPr>
                <w:noProof/>
                <w:webHidden/>
              </w:rPr>
            </w:r>
            <w:r w:rsidR="00406EFB">
              <w:rPr>
                <w:noProof/>
                <w:webHidden/>
              </w:rPr>
              <w:fldChar w:fldCharType="separate"/>
            </w:r>
            <w:r w:rsidR="00406EFB">
              <w:rPr>
                <w:noProof/>
                <w:webHidden/>
              </w:rPr>
              <w:t>34</w:t>
            </w:r>
            <w:r w:rsidR="00406EFB">
              <w:rPr>
                <w:noProof/>
                <w:webHidden/>
              </w:rPr>
              <w:fldChar w:fldCharType="end"/>
            </w:r>
          </w:hyperlink>
        </w:p>
        <w:p w14:paraId="39819A7D" w14:textId="30F93119"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80"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 felügyeleti tevékenység, azonosított jogsértések</w:t>
            </w:r>
            <w:r w:rsidR="00406EFB">
              <w:rPr>
                <w:noProof/>
                <w:webHidden/>
              </w:rPr>
              <w:tab/>
            </w:r>
            <w:r w:rsidR="00406EFB">
              <w:rPr>
                <w:noProof/>
                <w:webHidden/>
              </w:rPr>
              <w:fldChar w:fldCharType="begin"/>
            </w:r>
            <w:r w:rsidR="00406EFB">
              <w:rPr>
                <w:noProof/>
                <w:webHidden/>
              </w:rPr>
              <w:instrText xml:space="preserve"> PAGEREF _Toc109906080 \h </w:instrText>
            </w:r>
            <w:r w:rsidR="00406EFB">
              <w:rPr>
                <w:noProof/>
                <w:webHidden/>
              </w:rPr>
            </w:r>
            <w:r w:rsidR="00406EFB">
              <w:rPr>
                <w:noProof/>
                <w:webHidden/>
              </w:rPr>
              <w:fldChar w:fldCharType="separate"/>
            </w:r>
            <w:r w:rsidR="00406EFB">
              <w:rPr>
                <w:noProof/>
                <w:webHidden/>
              </w:rPr>
              <w:t>35</w:t>
            </w:r>
            <w:r w:rsidR="00406EFB">
              <w:rPr>
                <w:noProof/>
                <w:webHidden/>
              </w:rPr>
              <w:fldChar w:fldCharType="end"/>
            </w:r>
          </w:hyperlink>
        </w:p>
        <w:p w14:paraId="3C1087B3" w14:textId="2483E64C"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81"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_Toc109906081 \h </w:instrText>
            </w:r>
            <w:r w:rsidR="00406EFB">
              <w:rPr>
                <w:noProof/>
                <w:webHidden/>
              </w:rPr>
            </w:r>
            <w:r w:rsidR="00406EFB">
              <w:rPr>
                <w:noProof/>
                <w:webHidden/>
              </w:rPr>
              <w:fldChar w:fldCharType="separate"/>
            </w:r>
            <w:r w:rsidR="00406EFB">
              <w:rPr>
                <w:noProof/>
                <w:webHidden/>
              </w:rPr>
              <w:t>35</w:t>
            </w:r>
            <w:r w:rsidR="00406EFB">
              <w:rPr>
                <w:noProof/>
                <w:webHidden/>
              </w:rPr>
              <w:fldChar w:fldCharType="end"/>
            </w:r>
          </w:hyperlink>
        </w:p>
        <w:p w14:paraId="6132B325" w14:textId="5DDF31F3" w:rsidR="00406EFB" w:rsidRDefault="005A24F5">
          <w:pPr>
            <w:pStyle w:val="TJ2"/>
            <w:tabs>
              <w:tab w:val="right" w:leader="dot" w:pos="9514"/>
            </w:tabs>
            <w:rPr>
              <w:rFonts w:asciiTheme="minorHAnsi" w:hAnsiTheme="minorHAnsi"/>
              <w:noProof/>
              <w:sz w:val="22"/>
              <w:szCs w:val="22"/>
            </w:rPr>
          </w:pPr>
          <w:hyperlink w:anchor="_Toc109906082" w:history="1">
            <w:r w:rsidR="00406EFB" w:rsidRPr="0039194C">
              <w:rPr>
                <w:rStyle w:val="Hiperhivatkozs"/>
                <w:noProof/>
              </w:rPr>
              <w:t>3.12. Foglalkoztatói nyugdíjszolgáltatók</w:t>
            </w:r>
            <w:r w:rsidR="00406EFB">
              <w:rPr>
                <w:noProof/>
                <w:webHidden/>
              </w:rPr>
              <w:tab/>
            </w:r>
            <w:r w:rsidR="00406EFB">
              <w:rPr>
                <w:noProof/>
                <w:webHidden/>
              </w:rPr>
              <w:fldChar w:fldCharType="begin"/>
            </w:r>
            <w:r w:rsidR="00406EFB">
              <w:rPr>
                <w:noProof/>
                <w:webHidden/>
              </w:rPr>
              <w:instrText xml:space="preserve"> PAGEREF _Toc109906082 \h </w:instrText>
            </w:r>
            <w:r w:rsidR="00406EFB">
              <w:rPr>
                <w:noProof/>
                <w:webHidden/>
              </w:rPr>
            </w:r>
            <w:r w:rsidR="00406EFB">
              <w:rPr>
                <w:noProof/>
                <w:webHidden/>
              </w:rPr>
              <w:fldChar w:fldCharType="separate"/>
            </w:r>
            <w:r w:rsidR="00406EFB">
              <w:rPr>
                <w:noProof/>
                <w:webHidden/>
              </w:rPr>
              <w:t>36</w:t>
            </w:r>
            <w:r w:rsidR="00406EFB">
              <w:rPr>
                <w:noProof/>
                <w:webHidden/>
              </w:rPr>
              <w:fldChar w:fldCharType="end"/>
            </w:r>
          </w:hyperlink>
        </w:p>
        <w:p w14:paraId="710F7977" w14:textId="525A6367"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83"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_Toc109906083 \h </w:instrText>
            </w:r>
            <w:r w:rsidR="00406EFB">
              <w:rPr>
                <w:noProof/>
                <w:webHidden/>
              </w:rPr>
            </w:r>
            <w:r w:rsidR="00406EFB">
              <w:rPr>
                <w:noProof/>
                <w:webHidden/>
              </w:rPr>
              <w:fldChar w:fldCharType="separate"/>
            </w:r>
            <w:r w:rsidR="00406EFB">
              <w:rPr>
                <w:noProof/>
                <w:webHidden/>
              </w:rPr>
              <w:t>36</w:t>
            </w:r>
            <w:r w:rsidR="00406EFB">
              <w:rPr>
                <w:noProof/>
                <w:webHidden/>
              </w:rPr>
              <w:fldChar w:fldCharType="end"/>
            </w:r>
          </w:hyperlink>
        </w:p>
        <w:p w14:paraId="79B3C110" w14:textId="04D793CC"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84"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_Toc109906084 \h </w:instrText>
            </w:r>
            <w:r w:rsidR="00406EFB">
              <w:rPr>
                <w:noProof/>
                <w:webHidden/>
              </w:rPr>
            </w:r>
            <w:r w:rsidR="00406EFB">
              <w:rPr>
                <w:noProof/>
                <w:webHidden/>
              </w:rPr>
              <w:fldChar w:fldCharType="separate"/>
            </w:r>
            <w:r w:rsidR="00406EFB">
              <w:rPr>
                <w:noProof/>
                <w:webHidden/>
              </w:rPr>
              <w:t>36</w:t>
            </w:r>
            <w:r w:rsidR="00406EFB">
              <w:rPr>
                <w:noProof/>
                <w:webHidden/>
              </w:rPr>
              <w:fldChar w:fldCharType="end"/>
            </w:r>
          </w:hyperlink>
        </w:p>
        <w:p w14:paraId="00028651" w14:textId="61BD93E3"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85"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 felügyeleti tevékenység, azonosított jogsértések</w:t>
            </w:r>
            <w:r w:rsidR="00406EFB">
              <w:rPr>
                <w:noProof/>
                <w:webHidden/>
              </w:rPr>
              <w:tab/>
            </w:r>
            <w:r w:rsidR="00406EFB">
              <w:rPr>
                <w:noProof/>
                <w:webHidden/>
              </w:rPr>
              <w:fldChar w:fldCharType="begin"/>
            </w:r>
            <w:r w:rsidR="00406EFB">
              <w:rPr>
                <w:noProof/>
                <w:webHidden/>
              </w:rPr>
              <w:instrText xml:space="preserve"> PAGEREF _Toc109906085 \h </w:instrText>
            </w:r>
            <w:r w:rsidR="00406EFB">
              <w:rPr>
                <w:noProof/>
                <w:webHidden/>
              </w:rPr>
            </w:r>
            <w:r w:rsidR="00406EFB">
              <w:rPr>
                <w:noProof/>
                <w:webHidden/>
              </w:rPr>
              <w:fldChar w:fldCharType="separate"/>
            </w:r>
            <w:r w:rsidR="00406EFB">
              <w:rPr>
                <w:noProof/>
                <w:webHidden/>
              </w:rPr>
              <w:t>36</w:t>
            </w:r>
            <w:r w:rsidR="00406EFB">
              <w:rPr>
                <w:noProof/>
                <w:webHidden/>
              </w:rPr>
              <w:fldChar w:fldCharType="end"/>
            </w:r>
          </w:hyperlink>
        </w:p>
        <w:p w14:paraId="7BE77C82" w14:textId="6C6C72BC"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86"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_Toc109906086 \h </w:instrText>
            </w:r>
            <w:r w:rsidR="00406EFB">
              <w:rPr>
                <w:noProof/>
                <w:webHidden/>
              </w:rPr>
            </w:r>
            <w:r w:rsidR="00406EFB">
              <w:rPr>
                <w:noProof/>
                <w:webHidden/>
              </w:rPr>
              <w:fldChar w:fldCharType="separate"/>
            </w:r>
            <w:r w:rsidR="00406EFB">
              <w:rPr>
                <w:noProof/>
                <w:webHidden/>
              </w:rPr>
              <w:t>37</w:t>
            </w:r>
            <w:r w:rsidR="00406EFB">
              <w:rPr>
                <w:noProof/>
                <w:webHidden/>
              </w:rPr>
              <w:fldChar w:fldCharType="end"/>
            </w:r>
          </w:hyperlink>
        </w:p>
        <w:p w14:paraId="7AA07213" w14:textId="6E89C84E" w:rsidR="00406EFB" w:rsidRDefault="005A24F5">
          <w:pPr>
            <w:pStyle w:val="TJ2"/>
            <w:tabs>
              <w:tab w:val="right" w:leader="dot" w:pos="9514"/>
            </w:tabs>
            <w:rPr>
              <w:rFonts w:asciiTheme="minorHAnsi" w:hAnsiTheme="minorHAnsi"/>
              <w:noProof/>
              <w:sz w:val="22"/>
              <w:szCs w:val="22"/>
            </w:rPr>
          </w:pPr>
          <w:hyperlink w:anchor="_Toc109906087" w:history="1">
            <w:r w:rsidR="00406EFB" w:rsidRPr="0039194C">
              <w:rPr>
                <w:rStyle w:val="Hiperhivatkozs"/>
                <w:noProof/>
              </w:rPr>
              <w:t>3.13. Utalvány-kibocsátók</w:t>
            </w:r>
            <w:r w:rsidR="00406EFB">
              <w:rPr>
                <w:noProof/>
                <w:webHidden/>
              </w:rPr>
              <w:tab/>
            </w:r>
            <w:r w:rsidR="00406EFB">
              <w:rPr>
                <w:noProof/>
                <w:webHidden/>
              </w:rPr>
              <w:fldChar w:fldCharType="begin"/>
            </w:r>
            <w:r w:rsidR="00406EFB">
              <w:rPr>
                <w:noProof/>
                <w:webHidden/>
              </w:rPr>
              <w:instrText xml:space="preserve"> PAGEREF _Toc109906087 \h </w:instrText>
            </w:r>
            <w:r w:rsidR="00406EFB">
              <w:rPr>
                <w:noProof/>
                <w:webHidden/>
              </w:rPr>
            </w:r>
            <w:r w:rsidR="00406EFB">
              <w:rPr>
                <w:noProof/>
                <w:webHidden/>
              </w:rPr>
              <w:fldChar w:fldCharType="separate"/>
            </w:r>
            <w:r w:rsidR="00406EFB">
              <w:rPr>
                <w:noProof/>
                <w:webHidden/>
              </w:rPr>
              <w:t>37</w:t>
            </w:r>
            <w:r w:rsidR="00406EFB">
              <w:rPr>
                <w:noProof/>
                <w:webHidden/>
              </w:rPr>
              <w:fldChar w:fldCharType="end"/>
            </w:r>
          </w:hyperlink>
        </w:p>
        <w:p w14:paraId="78452B6D" w14:textId="5B1CB6D9"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88"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_Toc109906088 \h </w:instrText>
            </w:r>
            <w:r w:rsidR="00406EFB">
              <w:rPr>
                <w:noProof/>
                <w:webHidden/>
              </w:rPr>
            </w:r>
            <w:r w:rsidR="00406EFB">
              <w:rPr>
                <w:noProof/>
                <w:webHidden/>
              </w:rPr>
              <w:fldChar w:fldCharType="separate"/>
            </w:r>
            <w:r w:rsidR="00406EFB">
              <w:rPr>
                <w:noProof/>
                <w:webHidden/>
              </w:rPr>
              <w:t>37</w:t>
            </w:r>
            <w:r w:rsidR="00406EFB">
              <w:rPr>
                <w:noProof/>
                <w:webHidden/>
              </w:rPr>
              <w:fldChar w:fldCharType="end"/>
            </w:r>
          </w:hyperlink>
        </w:p>
        <w:p w14:paraId="109FDD6D" w14:textId="2899FAC1"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89"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_Toc109906089 \h </w:instrText>
            </w:r>
            <w:r w:rsidR="00406EFB">
              <w:rPr>
                <w:noProof/>
                <w:webHidden/>
              </w:rPr>
            </w:r>
            <w:r w:rsidR="00406EFB">
              <w:rPr>
                <w:noProof/>
                <w:webHidden/>
              </w:rPr>
              <w:fldChar w:fldCharType="separate"/>
            </w:r>
            <w:r w:rsidR="00406EFB">
              <w:rPr>
                <w:noProof/>
                <w:webHidden/>
              </w:rPr>
              <w:t>37</w:t>
            </w:r>
            <w:r w:rsidR="00406EFB">
              <w:rPr>
                <w:noProof/>
                <w:webHidden/>
              </w:rPr>
              <w:fldChar w:fldCharType="end"/>
            </w:r>
          </w:hyperlink>
        </w:p>
        <w:p w14:paraId="5FFE5691" w14:textId="2EE2C95F"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90"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 felügyeleti tevékenység, azonosított jogsértések</w:t>
            </w:r>
            <w:r w:rsidR="00406EFB">
              <w:rPr>
                <w:noProof/>
                <w:webHidden/>
              </w:rPr>
              <w:tab/>
            </w:r>
            <w:r w:rsidR="00406EFB">
              <w:rPr>
                <w:noProof/>
                <w:webHidden/>
              </w:rPr>
              <w:fldChar w:fldCharType="begin"/>
            </w:r>
            <w:r w:rsidR="00406EFB">
              <w:rPr>
                <w:noProof/>
                <w:webHidden/>
              </w:rPr>
              <w:instrText xml:space="preserve"> PAGEREF _Toc109906090 \h </w:instrText>
            </w:r>
            <w:r w:rsidR="00406EFB">
              <w:rPr>
                <w:noProof/>
                <w:webHidden/>
              </w:rPr>
            </w:r>
            <w:r w:rsidR="00406EFB">
              <w:rPr>
                <w:noProof/>
                <w:webHidden/>
              </w:rPr>
              <w:fldChar w:fldCharType="separate"/>
            </w:r>
            <w:r w:rsidR="00406EFB">
              <w:rPr>
                <w:noProof/>
                <w:webHidden/>
              </w:rPr>
              <w:t>38</w:t>
            </w:r>
            <w:r w:rsidR="00406EFB">
              <w:rPr>
                <w:noProof/>
                <w:webHidden/>
              </w:rPr>
              <w:fldChar w:fldCharType="end"/>
            </w:r>
          </w:hyperlink>
        </w:p>
        <w:p w14:paraId="3B4BECD1" w14:textId="6CF6C001"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91"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_Toc109906091 \h </w:instrText>
            </w:r>
            <w:r w:rsidR="00406EFB">
              <w:rPr>
                <w:noProof/>
                <w:webHidden/>
              </w:rPr>
            </w:r>
            <w:r w:rsidR="00406EFB">
              <w:rPr>
                <w:noProof/>
                <w:webHidden/>
              </w:rPr>
              <w:fldChar w:fldCharType="separate"/>
            </w:r>
            <w:r w:rsidR="00406EFB">
              <w:rPr>
                <w:noProof/>
                <w:webHidden/>
              </w:rPr>
              <w:t>38</w:t>
            </w:r>
            <w:r w:rsidR="00406EFB">
              <w:rPr>
                <w:noProof/>
                <w:webHidden/>
              </w:rPr>
              <w:fldChar w:fldCharType="end"/>
            </w:r>
          </w:hyperlink>
        </w:p>
        <w:p w14:paraId="6AC8D63B" w14:textId="7683E443" w:rsidR="00406EFB" w:rsidRDefault="005A24F5">
          <w:pPr>
            <w:pStyle w:val="TJ2"/>
            <w:tabs>
              <w:tab w:val="right" w:leader="dot" w:pos="9514"/>
            </w:tabs>
            <w:rPr>
              <w:rFonts w:asciiTheme="minorHAnsi" w:hAnsiTheme="minorHAnsi"/>
              <w:noProof/>
              <w:sz w:val="22"/>
              <w:szCs w:val="22"/>
            </w:rPr>
          </w:pPr>
          <w:hyperlink w:anchor="_Toc109906092" w:history="1">
            <w:r w:rsidR="00406EFB" w:rsidRPr="0039194C">
              <w:rPr>
                <w:rStyle w:val="Hiperhivatkozs"/>
                <w:noProof/>
              </w:rPr>
              <w:t>3.14. Piacműködtetők</w:t>
            </w:r>
            <w:r w:rsidR="00406EFB">
              <w:rPr>
                <w:noProof/>
                <w:webHidden/>
              </w:rPr>
              <w:tab/>
            </w:r>
            <w:r w:rsidR="00406EFB">
              <w:rPr>
                <w:noProof/>
                <w:webHidden/>
              </w:rPr>
              <w:fldChar w:fldCharType="begin"/>
            </w:r>
            <w:r w:rsidR="00406EFB">
              <w:rPr>
                <w:noProof/>
                <w:webHidden/>
              </w:rPr>
              <w:instrText xml:space="preserve"> PAGEREF _Toc109906092 \h </w:instrText>
            </w:r>
            <w:r w:rsidR="00406EFB">
              <w:rPr>
                <w:noProof/>
                <w:webHidden/>
              </w:rPr>
            </w:r>
            <w:r w:rsidR="00406EFB">
              <w:rPr>
                <w:noProof/>
                <w:webHidden/>
              </w:rPr>
              <w:fldChar w:fldCharType="separate"/>
            </w:r>
            <w:r w:rsidR="00406EFB">
              <w:rPr>
                <w:noProof/>
                <w:webHidden/>
              </w:rPr>
              <w:t>38</w:t>
            </w:r>
            <w:r w:rsidR="00406EFB">
              <w:rPr>
                <w:noProof/>
                <w:webHidden/>
              </w:rPr>
              <w:fldChar w:fldCharType="end"/>
            </w:r>
          </w:hyperlink>
        </w:p>
        <w:p w14:paraId="35CF7A23" w14:textId="3AAAAD8B"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93"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_Toc109906093 \h </w:instrText>
            </w:r>
            <w:r w:rsidR="00406EFB">
              <w:rPr>
                <w:noProof/>
                <w:webHidden/>
              </w:rPr>
            </w:r>
            <w:r w:rsidR="00406EFB">
              <w:rPr>
                <w:noProof/>
                <w:webHidden/>
              </w:rPr>
              <w:fldChar w:fldCharType="separate"/>
            </w:r>
            <w:r w:rsidR="00406EFB">
              <w:rPr>
                <w:noProof/>
                <w:webHidden/>
              </w:rPr>
              <w:t>38</w:t>
            </w:r>
            <w:r w:rsidR="00406EFB">
              <w:rPr>
                <w:noProof/>
                <w:webHidden/>
              </w:rPr>
              <w:fldChar w:fldCharType="end"/>
            </w:r>
          </w:hyperlink>
        </w:p>
        <w:p w14:paraId="738D6F59" w14:textId="65DFB2EF"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94"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_Toc109906094 \h </w:instrText>
            </w:r>
            <w:r w:rsidR="00406EFB">
              <w:rPr>
                <w:noProof/>
                <w:webHidden/>
              </w:rPr>
            </w:r>
            <w:r w:rsidR="00406EFB">
              <w:rPr>
                <w:noProof/>
                <w:webHidden/>
              </w:rPr>
              <w:fldChar w:fldCharType="separate"/>
            </w:r>
            <w:r w:rsidR="00406EFB">
              <w:rPr>
                <w:noProof/>
                <w:webHidden/>
              </w:rPr>
              <w:t>38</w:t>
            </w:r>
            <w:r w:rsidR="00406EFB">
              <w:rPr>
                <w:noProof/>
                <w:webHidden/>
              </w:rPr>
              <w:fldChar w:fldCharType="end"/>
            </w:r>
          </w:hyperlink>
        </w:p>
        <w:p w14:paraId="13F592FC" w14:textId="233AE2CF"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95"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 felügyeleti tevékenység, azonosított jogsértések</w:t>
            </w:r>
            <w:r w:rsidR="00406EFB">
              <w:rPr>
                <w:noProof/>
                <w:webHidden/>
              </w:rPr>
              <w:tab/>
            </w:r>
            <w:r w:rsidR="00406EFB">
              <w:rPr>
                <w:noProof/>
                <w:webHidden/>
              </w:rPr>
              <w:fldChar w:fldCharType="begin"/>
            </w:r>
            <w:r w:rsidR="00406EFB">
              <w:rPr>
                <w:noProof/>
                <w:webHidden/>
              </w:rPr>
              <w:instrText xml:space="preserve"> PAGEREF _Toc109906095 \h </w:instrText>
            </w:r>
            <w:r w:rsidR="00406EFB">
              <w:rPr>
                <w:noProof/>
                <w:webHidden/>
              </w:rPr>
            </w:r>
            <w:r w:rsidR="00406EFB">
              <w:rPr>
                <w:noProof/>
                <w:webHidden/>
              </w:rPr>
              <w:fldChar w:fldCharType="separate"/>
            </w:r>
            <w:r w:rsidR="00406EFB">
              <w:rPr>
                <w:noProof/>
                <w:webHidden/>
              </w:rPr>
              <w:t>39</w:t>
            </w:r>
            <w:r w:rsidR="00406EFB">
              <w:rPr>
                <w:noProof/>
                <w:webHidden/>
              </w:rPr>
              <w:fldChar w:fldCharType="end"/>
            </w:r>
          </w:hyperlink>
        </w:p>
        <w:p w14:paraId="4F148585" w14:textId="37666F4B"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96"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_Toc109906096 \h </w:instrText>
            </w:r>
            <w:r w:rsidR="00406EFB">
              <w:rPr>
                <w:noProof/>
                <w:webHidden/>
              </w:rPr>
            </w:r>
            <w:r w:rsidR="00406EFB">
              <w:rPr>
                <w:noProof/>
                <w:webHidden/>
              </w:rPr>
              <w:fldChar w:fldCharType="separate"/>
            </w:r>
            <w:r w:rsidR="00406EFB">
              <w:rPr>
                <w:noProof/>
                <w:webHidden/>
              </w:rPr>
              <w:t>39</w:t>
            </w:r>
            <w:r w:rsidR="00406EFB">
              <w:rPr>
                <w:noProof/>
                <w:webHidden/>
              </w:rPr>
              <w:fldChar w:fldCharType="end"/>
            </w:r>
          </w:hyperlink>
        </w:p>
        <w:p w14:paraId="61530D17" w14:textId="1AC839DB" w:rsidR="00406EFB" w:rsidRDefault="005A24F5">
          <w:pPr>
            <w:pStyle w:val="TJ2"/>
            <w:tabs>
              <w:tab w:val="right" w:leader="dot" w:pos="9514"/>
            </w:tabs>
            <w:rPr>
              <w:rFonts w:asciiTheme="minorHAnsi" w:hAnsiTheme="minorHAnsi"/>
              <w:noProof/>
              <w:sz w:val="22"/>
              <w:szCs w:val="22"/>
            </w:rPr>
          </w:pPr>
          <w:hyperlink w:anchor="_Toc109906097" w:history="1">
            <w:r w:rsidR="00406EFB" w:rsidRPr="0039194C">
              <w:rPr>
                <w:rStyle w:val="Hiperhivatkozs"/>
                <w:noProof/>
              </w:rPr>
              <w:t>3.15. Pénzpiaci közvetítők</w:t>
            </w:r>
            <w:r w:rsidR="00406EFB">
              <w:rPr>
                <w:noProof/>
                <w:webHidden/>
              </w:rPr>
              <w:tab/>
            </w:r>
            <w:r w:rsidR="00406EFB">
              <w:rPr>
                <w:noProof/>
                <w:webHidden/>
              </w:rPr>
              <w:fldChar w:fldCharType="begin"/>
            </w:r>
            <w:r w:rsidR="00406EFB">
              <w:rPr>
                <w:noProof/>
                <w:webHidden/>
              </w:rPr>
              <w:instrText xml:space="preserve"> PAGEREF _Toc109906097 \h </w:instrText>
            </w:r>
            <w:r w:rsidR="00406EFB">
              <w:rPr>
                <w:noProof/>
                <w:webHidden/>
              </w:rPr>
            </w:r>
            <w:r w:rsidR="00406EFB">
              <w:rPr>
                <w:noProof/>
                <w:webHidden/>
              </w:rPr>
              <w:fldChar w:fldCharType="separate"/>
            </w:r>
            <w:r w:rsidR="00406EFB">
              <w:rPr>
                <w:noProof/>
                <w:webHidden/>
              </w:rPr>
              <w:t>39</w:t>
            </w:r>
            <w:r w:rsidR="00406EFB">
              <w:rPr>
                <w:noProof/>
                <w:webHidden/>
              </w:rPr>
              <w:fldChar w:fldCharType="end"/>
            </w:r>
          </w:hyperlink>
        </w:p>
        <w:p w14:paraId="4A2A1A06" w14:textId="0F8AAD05"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98"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_Toc109906098 \h </w:instrText>
            </w:r>
            <w:r w:rsidR="00406EFB">
              <w:rPr>
                <w:noProof/>
                <w:webHidden/>
              </w:rPr>
            </w:r>
            <w:r w:rsidR="00406EFB">
              <w:rPr>
                <w:noProof/>
                <w:webHidden/>
              </w:rPr>
              <w:fldChar w:fldCharType="separate"/>
            </w:r>
            <w:r w:rsidR="00406EFB">
              <w:rPr>
                <w:noProof/>
                <w:webHidden/>
              </w:rPr>
              <w:t>39</w:t>
            </w:r>
            <w:r w:rsidR="00406EFB">
              <w:rPr>
                <w:noProof/>
                <w:webHidden/>
              </w:rPr>
              <w:fldChar w:fldCharType="end"/>
            </w:r>
          </w:hyperlink>
        </w:p>
        <w:p w14:paraId="4C353CE2" w14:textId="1150D8E0"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099"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_Toc109906099 \h </w:instrText>
            </w:r>
            <w:r w:rsidR="00406EFB">
              <w:rPr>
                <w:noProof/>
                <w:webHidden/>
              </w:rPr>
            </w:r>
            <w:r w:rsidR="00406EFB">
              <w:rPr>
                <w:noProof/>
                <w:webHidden/>
              </w:rPr>
              <w:fldChar w:fldCharType="separate"/>
            </w:r>
            <w:r w:rsidR="00406EFB">
              <w:rPr>
                <w:noProof/>
                <w:webHidden/>
              </w:rPr>
              <w:t>39</w:t>
            </w:r>
            <w:r w:rsidR="00406EFB">
              <w:rPr>
                <w:noProof/>
                <w:webHidden/>
              </w:rPr>
              <w:fldChar w:fldCharType="end"/>
            </w:r>
          </w:hyperlink>
        </w:p>
        <w:p w14:paraId="316D88BD" w14:textId="6B243C21"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100"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 felügyeleti tevékenység, azonosított jogsértések</w:t>
            </w:r>
            <w:r w:rsidR="00406EFB">
              <w:rPr>
                <w:noProof/>
                <w:webHidden/>
              </w:rPr>
              <w:tab/>
            </w:r>
            <w:r w:rsidR="00406EFB">
              <w:rPr>
                <w:noProof/>
                <w:webHidden/>
              </w:rPr>
              <w:fldChar w:fldCharType="begin"/>
            </w:r>
            <w:r w:rsidR="00406EFB">
              <w:rPr>
                <w:noProof/>
                <w:webHidden/>
              </w:rPr>
              <w:instrText xml:space="preserve"> PAGEREF _Toc109906100 \h </w:instrText>
            </w:r>
            <w:r w:rsidR="00406EFB">
              <w:rPr>
                <w:noProof/>
                <w:webHidden/>
              </w:rPr>
            </w:r>
            <w:r w:rsidR="00406EFB">
              <w:rPr>
                <w:noProof/>
                <w:webHidden/>
              </w:rPr>
              <w:fldChar w:fldCharType="separate"/>
            </w:r>
            <w:r w:rsidR="00406EFB">
              <w:rPr>
                <w:noProof/>
                <w:webHidden/>
              </w:rPr>
              <w:t>40</w:t>
            </w:r>
            <w:r w:rsidR="00406EFB">
              <w:rPr>
                <w:noProof/>
                <w:webHidden/>
              </w:rPr>
              <w:fldChar w:fldCharType="end"/>
            </w:r>
          </w:hyperlink>
        </w:p>
        <w:p w14:paraId="52237DF2" w14:textId="4D2A2D2A"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101"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_Toc109906101 \h </w:instrText>
            </w:r>
            <w:r w:rsidR="00406EFB">
              <w:rPr>
                <w:noProof/>
                <w:webHidden/>
              </w:rPr>
            </w:r>
            <w:r w:rsidR="00406EFB">
              <w:rPr>
                <w:noProof/>
                <w:webHidden/>
              </w:rPr>
              <w:fldChar w:fldCharType="separate"/>
            </w:r>
            <w:r w:rsidR="00406EFB">
              <w:rPr>
                <w:noProof/>
                <w:webHidden/>
              </w:rPr>
              <w:t>41</w:t>
            </w:r>
            <w:r w:rsidR="00406EFB">
              <w:rPr>
                <w:noProof/>
                <w:webHidden/>
              </w:rPr>
              <w:fldChar w:fldCharType="end"/>
            </w:r>
          </w:hyperlink>
        </w:p>
        <w:p w14:paraId="36A38B1A" w14:textId="3585DF6D" w:rsidR="00406EFB" w:rsidRDefault="005A24F5">
          <w:pPr>
            <w:pStyle w:val="TJ2"/>
            <w:tabs>
              <w:tab w:val="right" w:leader="dot" w:pos="9514"/>
            </w:tabs>
            <w:rPr>
              <w:rFonts w:asciiTheme="minorHAnsi" w:hAnsiTheme="minorHAnsi"/>
              <w:noProof/>
              <w:sz w:val="22"/>
              <w:szCs w:val="22"/>
            </w:rPr>
          </w:pPr>
          <w:hyperlink w:anchor="_Toc109906102" w:history="1">
            <w:r w:rsidR="00406EFB" w:rsidRPr="0039194C">
              <w:rPr>
                <w:rStyle w:val="Hiperhivatkozs"/>
                <w:noProof/>
              </w:rPr>
              <w:t>3.16. Pénzfeldolgozók</w:t>
            </w:r>
            <w:r w:rsidR="00406EFB">
              <w:rPr>
                <w:noProof/>
                <w:webHidden/>
              </w:rPr>
              <w:tab/>
            </w:r>
            <w:r w:rsidR="00406EFB">
              <w:rPr>
                <w:noProof/>
                <w:webHidden/>
              </w:rPr>
              <w:fldChar w:fldCharType="begin"/>
            </w:r>
            <w:r w:rsidR="00406EFB">
              <w:rPr>
                <w:noProof/>
                <w:webHidden/>
              </w:rPr>
              <w:instrText xml:space="preserve"> PAGEREF _Toc109906102 \h </w:instrText>
            </w:r>
            <w:r w:rsidR="00406EFB">
              <w:rPr>
                <w:noProof/>
                <w:webHidden/>
              </w:rPr>
            </w:r>
            <w:r w:rsidR="00406EFB">
              <w:rPr>
                <w:noProof/>
                <w:webHidden/>
              </w:rPr>
              <w:fldChar w:fldCharType="separate"/>
            </w:r>
            <w:r w:rsidR="00406EFB">
              <w:rPr>
                <w:noProof/>
                <w:webHidden/>
              </w:rPr>
              <w:t>41</w:t>
            </w:r>
            <w:r w:rsidR="00406EFB">
              <w:rPr>
                <w:noProof/>
                <w:webHidden/>
              </w:rPr>
              <w:fldChar w:fldCharType="end"/>
            </w:r>
          </w:hyperlink>
        </w:p>
        <w:p w14:paraId="3B1C2449" w14:textId="4E02CDE3"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103" w:history="1">
            <w:r w:rsidR="00406EFB" w:rsidRPr="0039194C">
              <w:rPr>
                <w:rStyle w:val="Hiperhivatkozs"/>
                <w:noProof/>
              </w:rPr>
              <w:t>1.</w:t>
            </w:r>
            <w:r w:rsidR="00406EFB">
              <w:rPr>
                <w:rFonts w:asciiTheme="minorHAnsi" w:eastAsiaTheme="minorEastAsia" w:hAnsiTheme="minorHAnsi"/>
                <w:noProof/>
                <w:sz w:val="22"/>
                <w:szCs w:val="22"/>
              </w:rPr>
              <w:tab/>
            </w:r>
            <w:r w:rsidR="00406EFB" w:rsidRPr="0039194C">
              <w:rPr>
                <w:rStyle w:val="Hiperhivatkozs"/>
                <w:noProof/>
              </w:rPr>
              <w:t>A szektor méretére, tevékenységi körére és összetettségére vonatkozó információk összesített formában</w:t>
            </w:r>
            <w:r w:rsidR="00406EFB">
              <w:rPr>
                <w:noProof/>
                <w:webHidden/>
              </w:rPr>
              <w:tab/>
            </w:r>
            <w:r w:rsidR="00406EFB">
              <w:rPr>
                <w:noProof/>
                <w:webHidden/>
              </w:rPr>
              <w:fldChar w:fldCharType="begin"/>
            </w:r>
            <w:r w:rsidR="00406EFB">
              <w:rPr>
                <w:noProof/>
                <w:webHidden/>
              </w:rPr>
              <w:instrText xml:space="preserve"> PAGEREF _Toc109906103 \h </w:instrText>
            </w:r>
            <w:r w:rsidR="00406EFB">
              <w:rPr>
                <w:noProof/>
                <w:webHidden/>
              </w:rPr>
            </w:r>
            <w:r w:rsidR="00406EFB">
              <w:rPr>
                <w:noProof/>
                <w:webHidden/>
              </w:rPr>
              <w:fldChar w:fldCharType="separate"/>
            </w:r>
            <w:r w:rsidR="00406EFB">
              <w:rPr>
                <w:noProof/>
                <w:webHidden/>
              </w:rPr>
              <w:t>41</w:t>
            </w:r>
            <w:r w:rsidR="00406EFB">
              <w:rPr>
                <w:noProof/>
                <w:webHidden/>
              </w:rPr>
              <w:fldChar w:fldCharType="end"/>
            </w:r>
          </w:hyperlink>
        </w:p>
        <w:p w14:paraId="41A8D511" w14:textId="510892AA"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104" w:history="1">
            <w:r w:rsidR="00406EFB" w:rsidRPr="0039194C">
              <w:rPr>
                <w:rStyle w:val="Hiperhivatkozs"/>
                <w:noProof/>
              </w:rPr>
              <w:t>2.</w:t>
            </w:r>
            <w:r w:rsidR="00406EFB">
              <w:rPr>
                <w:rFonts w:asciiTheme="minorHAnsi" w:eastAsiaTheme="minorEastAsia" w:hAnsiTheme="minorHAnsi"/>
                <w:noProof/>
                <w:sz w:val="22"/>
                <w:szCs w:val="22"/>
              </w:rPr>
              <w:tab/>
            </w:r>
            <w:r w:rsidR="00406EFB" w:rsidRPr="0039194C">
              <w:rPr>
                <w:rStyle w:val="Hiperhivatkozs"/>
                <w:noProof/>
              </w:rPr>
              <w:t>Inherens kockázatértékelés</w:t>
            </w:r>
            <w:r w:rsidR="00406EFB">
              <w:rPr>
                <w:noProof/>
                <w:webHidden/>
              </w:rPr>
              <w:tab/>
            </w:r>
            <w:r w:rsidR="00406EFB">
              <w:rPr>
                <w:noProof/>
                <w:webHidden/>
              </w:rPr>
              <w:fldChar w:fldCharType="begin"/>
            </w:r>
            <w:r w:rsidR="00406EFB">
              <w:rPr>
                <w:noProof/>
                <w:webHidden/>
              </w:rPr>
              <w:instrText xml:space="preserve"> PAGEREF _Toc109906104 \h </w:instrText>
            </w:r>
            <w:r w:rsidR="00406EFB">
              <w:rPr>
                <w:noProof/>
                <w:webHidden/>
              </w:rPr>
            </w:r>
            <w:r w:rsidR="00406EFB">
              <w:rPr>
                <w:noProof/>
                <w:webHidden/>
              </w:rPr>
              <w:fldChar w:fldCharType="separate"/>
            </w:r>
            <w:r w:rsidR="00406EFB">
              <w:rPr>
                <w:noProof/>
                <w:webHidden/>
              </w:rPr>
              <w:t>41</w:t>
            </w:r>
            <w:r w:rsidR="00406EFB">
              <w:rPr>
                <w:noProof/>
                <w:webHidden/>
              </w:rPr>
              <w:fldChar w:fldCharType="end"/>
            </w:r>
          </w:hyperlink>
        </w:p>
        <w:p w14:paraId="0502D122" w14:textId="0A0D63C8"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105" w:history="1">
            <w:r w:rsidR="00406EFB" w:rsidRPr="0039194C">
              <w:rPr>
                <w:rStyle w:val="Hiperhivatkozs"/>
                <w:noProof/>
              </w:rPr>
              <w:t>3.</w:t>
            </w:r>
            <w:r w:rsidR="00406EFB">
              <w:rPr>
                <w:rFonts w:asciiTheme="minorHAnsi" w:eastAsiaTheme="minorEastAsia" w:hAnsiTheme="minorHAnsi"/>
                <w:noProof/>
                <w:sz w:val="22"/>
                <w:szCs w:val="22"/>
              </w:rPr>
              <w:tab/>
            </w:r>
            <w:r w:rsidR="00406EFB" w:rsidRPr="0039194C">
              <w:rPr>
                <w:rStyle w:val="Hiperhivatkozs"/>
                <w:noProof/>
              </w:rPr>
              <w:t>Az ellenőrzések minősége, felügyeleti tevékenység, azonosított jogsértések</w:t>
            </w:r>
            <w:r w:rsidR="00406EFB">
              <w:rPr>
                <w:noProof/>
                <w:webHidden/>
              </w:rPr>
              <w:tab/>
            </w:r>
            <w:r w:rsidR="00406EFB">
              <w:rPr>
                <w:noProof/>
                <w:webHidden/>
              </w:rPr>
              <w:fldChar w:fldCharType="begin"/>
            </w:r>
            <w:r w:rsidR="00406EFB">
              <w:rPr>
                <w:noProof/>
                <w:webHidden/>
              </w:rPr>
              <w:instrText xml:space="preserve"> PAGEREF _Toc109906105 \h </w:instrText>
            </w:r>
            <w:r w:rsidR="00406EFB">
              <w:rPr>
                <w:noProof/>
                <w:webHidden/>
              </w:rPr>
            </w:r>
            <w:r w:rsidR="00406EFB">
              <w:rPr>
                <w:noProof/>
                <w:webHidden/>
              </w:rPr>
              <w:fldChar w:fldCharType="separate"/>
            </w:r>
            <w:r w:rsidR="00406EFB">
              <w:rPr>
                <w:noProof/>
                <w:webHidden/>
              </w:rPr>
              <w:t>42</w:t>
            </w:r>
            <w:r w:rsidR="00406EFB">
              <w:rPr>
                <w:noProof/>
                <w:webHidden/>
              </w:rPr>
              <w:fldChar w:fldCharType="end"/>
            </w:r>
          </w:hyperlink>
        </w:p>
        <w:p w14:paraId="581DC4AA" w14:textId="4DD0B6D8" w:rsidR="00406EFB" w:rsidRDefault="005A24F5">
          <w:pPr>
            <w:pStyle w:val="TJ3"/>
            <w:tabs>
              <w:tab w:val="left" w:pos="880"/>
              <w:tab w:val="right" w:leader="dot" w:pos="9514"/>
            </w:tabs>
            <w:rPr>
              <w:rFonts w:asciiTheme="minorHAnsi" w:eastAsiaTheme="minorEastAsia" w:hAnsiTheme="minorHAnsi"/>
              <w:noProof/>
              <w:sz w:val="22"/>
              <w:szCs w:val="22"/>
            </w:rPr>
          </w:pPr>
          <w:hyperlink w:anchor="_Toc109906106" w:history="1">
            <w:r w:rsidR="00406EFB" w:rsidRPr="0039194C">
              <w:rPr>
                <w:rStyle w:val="Hiperhivatkozs"/>
                <w:noProof/>
              </w:rPr>
              <w:t>4.</w:t>
            </w:r>
            <w:r w:rsidR="00406EFB">
              <w:rPr>
                <w:rFonts w:asciiTheme="minorHAnsi" w:eastAsiaTheme="minorEastAsia" w:hAnsiTheme="minorHAnsi"/>
                <w:noProof/>
                <w:sz w:val="22"/>
                <w:szCs w:val="22"/>
              </w:rPr>
              <w:tab/>
            </w:r>
            <w:r w:rsidR="00406EFB" w:rsidRPr="0039194C">
              <w:rPr>
                <w:rStyle w:val="Hiperhivatkozs"/>
                <w:noProof/>
              </w:rPr>
              <w:t>Maradványkockázat</w:t>
            </w:r>
            <w:r w:rsidR="00406EFB">
              <w:rPr>
                <w:noProof/>
                <w:webHidden/>
              </w:rPr>
              <w:tab/>
            </w:r>
            <w:r w:rsidR="00406EFB">
              <w:rPr>
                <w:noProof/>
                <w:webHidden/>
              </w:rPr>
              <w:fldChar w:fldCharType="begin"/>
            </w:r>
            <w:r w:rsidR="00406EFB">
              <w:rPr>
                <w:noProof/>
                <w:webHidden/>
              </w:rPr>
              <w:instrText xml:space="preserve"> PAGEREF _Toc109906106 \h </w:instrText>
            </w:r>
            <w:r w:rsidR="00406EFB">
              <w:rPr>
                <w:noProof/>
                <w:webHidden/>
              </w:rPr>
            </w:r>
            <w:r w:rsidR="00406EFB">
              <w:rPr>
                <w:noProof/>
                <w:webHidden/>
              </w:rPr>
              <w:fldChar w:fldCharType="separate"/>
            </w:r>
            <w:r w:rsidR="00406EFB">
              <w:rPr>
                <w:noProof/>
                <w:webHidden/>
              </w:rPr>
              <w:t>42</w:t>
            </w:r>
            <w:r w:rsidR="00406EFB">
              <w:rPr>
                <w:noProof/>
                <w:webHidden/>
              </w:rPr>
              <w:fldChar w:fldCharType="end"/>
            </w:r>
          </w:hyperlink>
        </w:p>
        <w:p w14:paraId="090E9A42" w14:textId="5EA2521C" w:rsidR="00406EFB" w:rsidRDefault="005A24F5">
          <w:pPr>
            <w:pStyle w:val="TJ1"/>
            <w:tabs>
              <w:tab w:val="right" w:leader="dot" w:pos="9514"/>
            </w:tabs>
            <w:rPr>
              <w:rFonts w:asciiTheme="minorHAnsi" w:hAnsiTheme="minorHAnsi"/>
              <w:noProof/>
              <w:sz w:val="22"/>
              <w:szCs w:val="22"/>
            </w:rPr>
          </w:pPr>
          <w:hyperlink w:anchor="_Toc109906107" w:history="1">
            <w:r w:rsidR="00406EFB" w:rsidRPr="0039194C">
              <w:rPr>
                <w:rStyle w:val="Hiperhivatkozs"/>
                <w:noProof/>
              </w:rPr>
              <w:t>4. ÖSSZEGZÉS</w:t>
            </w:r>
            <w:r w:rsidR="00406EFB">
              <w:rPr>
                <w:noProof/>
                <w:webHidden/>
              </w:rPr>
              <w:tab/>
            </w:r>
            <w:r w:rsidR="00406EFB">
              <w:rPr>
                <w:noProof/>
                <w:webHidden/>
              </w:rPr>
              <w:fldChar w:fldCharType="begin"/>
            </w:r>
            <w:r w:rsidR="00406EFB">
              <w:rPr>
                <w:noProof/>
                <w:webHidden/>
              </w:rPr>
              <w:instrText xml:space="preserve"> PAGEREF _Toc109906107 \h </w:instrText>
            </w:r>
            <w:r w:rsidR="00406EFB">
              <w:rPr>
                <w:noProof/>
                <w:webHidden/>
              </w:rPr>
            </w:r>
            <w:r w:rsidR="00406EFB">
              <w:rPr>
                <w:noProof/>
                <w:webHidden/>
              </w:rPr>
              <w:fldChar w:fldCharType="separate"/>
            </w:r>
            <w:r w:rsidR="00406EFB">
              <w:rPr>
                <w:noProof/>
                <w:webHidden/>
              </w:rPr>
              <w:t>43</w:t>
            </w:r>
            <w:r w:rsidR="00406EFB">
              <w:rPr>
                <w:noProof/>
                <w:webHidden/>
              </w:rPr>
              <w:fldChar w:fldCharType="end"/>
            </w:r>
          </w:hyperlink>
        </w:p>
        <w:p w14:paraId="671A64D3" w14:textId="10408A0E" w:rsidR="00041F40" w:rsidRDefault="00041F40">
          <w:r>
            <w:rPr>
              <w:b/>
              <w:bCs/>
            </w:rPr>
            <w:fldChar w:fldCharType="end"/>
          </w:r>
        </w:p>
      </w:sdtContent>
    </w:sdt>
    <w:p w14:paraId="21D618CC" w14:textId="341EE60E" w:rsidR="008A63C7" w:rsidRPr="008A63C7" w:rsidRDefault="005C1BE9" w:rsidP="000222BD">
      <w:pPr>
        <w:spacing w:after="0" w:line="240" w:lineRule="auto"/>
        <w:jc w:val="left"/>
      </w:pPr>
      <w:r>
        <w:br w:type="page"/>
      </w:r>
    </w:p>
    <w:p w14:paraId="0B9F2772" w14:textId="1D4CC3D1" w:rsidR="008A63C7" w:rsidRPr="00A07F4E" w:rsidRDefault="008A63C7" w:rsidP="00281B1D">
      <w:pPr>
        <w:pStyle w:val="Cmsor1"/>
      </w:pPr>
      <w:bookmarkStart w:id="0" w:name="_Toc109906003"/>
      <w:r>
        <w:lastRenderedPageBreak/>
        <w:t>Bevezetés</w:t>
      </w:r>
      <w:bookmarkEnd w:id="0"/>
    </w:p>
    <w:p w14:paraId="780813A5" w14:textId="71CC4AA9" w:rsidR="00BD4FE5" w:rsidRDefault="007130E2" w:rsidP="009D09F9">
      <w:r>
        <w:t xml:space="preserve">A </w:t>
      </w:r>
      <w:proofErr w:type="spellStart"/>
      <w:r w:rsidRPr="00EC3AC1">
        <w:t>pénzmosás</w:t>
      </w:r>
      <w:proofErr w:type="spellEnd"/>
      <w:r w:rsidRPr="00EC3AC1">
        <w:t xml:space="preserve"> és a terrorizmus finanszírozása megelőzéséről és megakadályozásáról</w:t>
      </w:r>
      <w:r>
        <w:t xml:space="preserve"> szóló </w:t>
      </w:r>
      <w:r w:rsidRPr="00EC3AC1">
        <w:t xml:space="preserve">2017. évi </w:t>
      </w:r>
      <w:r>
        <w:t>LIII</w:t>
      </w:r>
      <w:r w:rsidRPr="00EC3AC1">
        <w:t>. törvény</w:t>
      </w:r>
      <w:r>
        <w:t xml:space="preserve"> (</w:t>
      </w:r>
      <w:proofErr w:type="spellStart"/>
      <w:r w:rsidRPr="00281B1D">
        <w:rPr>
          <w:b/>
          <w:bCs/>
        </w:rPr>
        <w:t>Pmt</w:t>
      </w:r>
      <w:proofErr w:type="spellEnd"/>
      <w:r w:rsidRPr="00281B1D">
        <w:rPr>
          <w:b/>
          <w:bCs/>
        </w:rPr>
        <w:t>.</w:t>
      </w:r>
      <w:r>
        <w:t>) 28. §-ára figyelemmel, a</w:t>
      </w:r>
      <w:r w:rsidR="00A27EDC">
        <w:t xml:space="preserve"> Magyar Nemzeti Bank (</w:t>
      </w:r>
      <w:r w:rsidR="00A27EDC" w:rsidRPr="00281B1D">
        <w:rPr>
          <w:b/>
          <w:bCs/>
        </w:rPr>
        <w:t>MNB</w:t>
      </w:r>
      <w:r w:rsidR="00A27EDC">
        <w:t>)</w:t>
      </w:r>
      <w:r w:rsidR="009D09F9" w:rsidRPr="00A07F4E">
        <w:t xml:space="preserve"> </w:t>
      </w:r>
      <w:r w:rsidR="00CC483B">
        <w:t xml:space="preserve">a </w:t>
      </w:r>
      <w:proofErr w:type="spellStart"/>
      <w:r w:rsidR="00AB1A65">
        <w:t>szektorális</w:t>
      </w:r>
      <w:proofErr w:type="spellEnd"/>
      <w:r w:rsidR="00AB1A65">
        <w:t xml:space="preserve"> </w:t>
      </w:r>
      <w:r w:rsidR="00A27EDC">
        <w:t>kockázat</w:t>
      </w:r>
      <w:r w:rsidR="00A27EDC" w:rsidRPr="00A07F4E">
        <w:t>értékelés</w:t>
      </w:r>
      <w:r w:rsidR="00A27EDC">
        <w:t xml:space="preserve">nek elvégzésekor </w:t>
      </w:r>
      <w:r w:rsidR="00445855">
        <w:t>tekintettel volt</w:t>
      </w:r>
      <w:r w:rsidR="009D09F9" w:rsidRPr="00A07F4E">
        <w:t xml:space="preserve"> a</w:t>
      </w:r>
      <w:r w:rsidR="000A0C14">
        <w:t xml:space="preserve"> </w:t>
      </w:r>
      <w:r w:rsidR="009D09F9" w:rsidRPr="00A07F4E">
        <w:t>Nemzeti Kockázatértékelés</w:t>
      </w:r>
      <w:r w:rsidR="00445855">
        <w:t>re</w:t>
      </w:r>
      <w:r w:rsidR="009D09F9" w:rsidRPr="00A07F4E">
        <w:t xml:space="preserve"> (</w:t>
      </w:r>
      <w:r w:rsidR="009D09F9" w:rsidRPr="00281B1D">
        <w:rPr>
          <w:b/>
          <w:bCs/>
        </w:rPr>
        <w:t>NRA</w:t>
      </w:r>
      <w:r w:rsidR="009D09F9" w:rsidRPr="00A07F4E">
        <w:t>)</w:t>
      </w:r>
      <w:r w:rsidR="009D4E8A">
        <w:t>, illetve annak felülvizsgálatának eredményé</w:t>
      </w:r>
      <w:r w:rsidR="00445855">
        <w:t>re</w:t>
      </w:r>
      <w:r w:rsidR="009D09F9" w:rsidRPr="00A07F4E">
        <w:t>.</w:t>
      </w:r>
      <w:r w:rsidR="009D4E8A">
        <w:t xml:space="preserve"> </w:t>
      </w:r>
    </w:p>
    <w:p w14:paraId="4093B77E" w14:textId="061A31FE" w:rsidR="00A340CA" w:rsidRDefault="00A340CA" w:rsidP="009D09F9">
      <w:r>
        <w:t>Jelen kockázatértékelés a nemzetközi tapasztalatokat is figyelembe veszi, így az Európai Bizottság a határokon átnyúló tevékenységekhez kapcsolódó és a belső piacot érintő pénzmosási és terrorizmusfinanszírozási kockázatok értékeléséről szóló jelentését (</w:t>
      </w:r>
      <w:r w:rsidRPr="00281B1D">
        <w:rPr>
          <w:b/>
          <w:bCs/>
        </w:rPr>
        <w:t>Szupranacionális kockázatértékelés</w:t>
      </w:r>
      <w:r>
        <w:t>)</w:t>
      </w:r>
      <w:r w:rsidR="006C4D68">
        <w:t xml:space="preserve">, illetve </w:t>
      </w:r>
      <w:r w:rsidR="006C4D68" w:rsidRPr="00A07F4E">
        <w:t xml:space="preserve">az European Banking </w:t>
      </w:r>
      <w:proofErr w:type="spellStart"/>
      <w:r w:rsidR="006C4D68" w:rsidRPr="00A07F4E">
        <w:t>Authority</w:t>
      </w:r>
      <w:proofErr w:type="spellEnd"/>
      <w:r w:rsidR="006C4D68" w:rsidRPr="00A07F4E">
        <w:t xml:space="preserve"> (</w:t>
      </w:r>
      <w:proofErr w:type="spellStart"/>
      <w:r w:rsidR="006C4D68" w:rsidRPr="00554E41">
        <w:rPr>
          <w:b/>
          <w:bCs/>
        </w:rPr>
        <w:t>EBA</w:t>
      </w:r>
      <w:proofErr w:type="spellEnd"/>
      <w:r w:rsidR="006C4D68" w:rsidRPr="00A07F4E">
        <w:t xml:space="preserve">) </w:t>
      </w:r>
      <w:r w:rsidR="006C4D68">
        <w:t>által kiadott alábbi iránymutatásokat</w:t>
      </w:r>
      <w:r w:rsidR="00CC483B">
        <w:t xml:space="preserve"> és</w:t>
      </w:r>
      <w:r w:rsidR="006C4D68">
        <w:t xml:space="preserve"> véleményt is</w:t>
      </w:r>
      <w:r w:rsidR="00CC483B">
        <w:t>:</w:t>
      </w:r>
      <w:r w:rsidR="006C4D68">
        <w:t xml:space="preserve"> </w:t>
      </w:r>
    </w:p>
    <w:p w14:paraId="03D93554" w14:textId="180F3179" w:rsidR="00CA6053" w:rsidRDefault="00BD4FE5" w:rsidP="00BD4FE5">
      <w:pPr>
        <w:pStyle w:val="Listaszerbekezds"/>
        <w:numPr>
          <w:ilvl w:val="0"/>
          <w:numId w:val="212"/>
        </w:numPr>
      </w:pPr>
      <w:r w:rsidRPr="00281B1D">
        <w:rPr>
          <w:i/>
          <w:iCs/>
        </w:rPr>
        <w:t xml:space="preserve">a </w:t>
      </w:r>
      <w:proofErr w:type="spellStart"/>
      <w:r w:rsidRPr="00281B1D">
        <w:rPr>
          <w:i/>
          <w:iCs/>
        </w:rPr>
        <w:t>pénzmosás</w:t>
      </w:r>
      <w:proofErr w:type="spellEnd"/>
      <w:r w:rsidRPr="00281B1D">
        <w:rPr>
          <w:i/>
          <w:iCs/>
        </w:rPr>
        <w:t xml:space="preserve"> elleni küzdelemmel és a terrorizmus finanszírozásával kapcsolatos felügyelet kockázatalapú megközelítésének jellemzőiről, valamint a kockázatalapú felügyelet során szükséges lépésekről, az (EU) 2015/849 irányelv 48. cikkének (10) bekezdése alapján (az </w:t>
      </w:r>
      <w:proofErr w:type="spellStart"/>
      <w:r w:rsidRPr="00281B1D">
        <w:rPr>
          <w:i/>
          <w:iCs/>
        </w:rPr>
        <w:t>ESAs</w:t>
      </w:r>
      <w:proofErr w:type="spellEnd"/>
      <w:r w:rsidRPr="00281B1D">
        <w:rPr>
          <w:i/>
          <w:iCs/>
        </w:rPr>
        <w:t>/2016/72 közös iránymutatás módosítása</w:t>
      </w:r>
      <w:r w:rsidR="00CA6053" w:rsidRPr="00CA6053">
        <w:rPr>
          <w:i/>
          <w:iCs/>
        </w:rPr>
        <w:t>)</w:t>
      </w:r>
      <w:r w:rsidR="00CA6053" w:rsidRPr="00281B1D">
        <w:t xml:space="preserve"> (</w:t>
      </w:r>
      <w:proofErr w:type="spellStart"/>
      <w:r w:rsidR="00CA6053" w:rsidRPr="00CA6053">
        <w:t>EBA</w:t>
      </w:r>
      <w:proofErr w:type="spellEnd"/>
      <w:r w:rsidR="00CA6053" w:rsidRPr="00CA6053">
        <w:t>/</w:t>
      </w:r>
      <w:proofErr w:type="spellStart"/>
      <w:r w:rsidR="00CA6053" w:rsidRPr="00CA6053">
        <w:t>GL</w:t>
      </w:r>
      <w:proofErr w:type="spellEnd"/>
      <w:r w:rsidR="00CA6053" w:rsidRPr="00CA6053">
        <w:t>/2021/16)</w:t>
      </w:r>
    </w:p>
    <w:p w14:paraId="0134EAC8" w14:textId="52A10D0E" w:rsidR="00CA6053" w:rsidRPr="00281B1D" w:rsidRDefault="00CA6053" w:rsidP="00BD4FE5">
      <w:pPr>
        <w:pStyle w:val="Listaszerbekezds"/>
        <w:numPr>
          <w:ilvl w:val="0"/>
          <w:numId w:val="212"/>
        </w:numPr>
        <w:rPr>
          <w:i/>
          <w:iCs/>
        </w:rPr>
      </w:pPr>
      <w:r w:rsidRPr="00281B1D">
        <w:rPr>
          <w:i/>
          <w:iCs/>
        </w:rPr>
        <w:t xml:space="preserve">az (EU) 2015/849 irányelv 17. cikke és 18. cikkének (4) bekezdése szerint az ügyfél-átvilágításról, valamint a hitelintézetek és a pénzügyi intézmények által az egyedi üzleti kapcsolatokhoz és az ügyleti megbízásokhoz kapcsolódó pénzmosási és terrorizmusfinanszírozási kockázat értékelése során figyelembe veendő tényezőkről (a továbbiakban: a pénzmosási és terrorizmusfinanszírozási kockázati tényezőkről szóló iránymutatások), amelyek hatályon kívül helyezik és felváltják a </w:t>
      </w:r>
      <w:proofErr w:type="spellStart"/>
      <w:r w:rsidRPr="00281B1D">
        <w:rPr>
          <w:i/>
          <w:iCs/>
        </w:rPr>
        <w:t>JC</w:t>
      </w:r>
      <w:proofErr w:type="spellEnd"/>
      <w:r w:rsidRPr="00281B1D">
        <w:rPr>
          <w:i/>
          <w:iCs/>
        </w:rPr>
        <w:t>/2017/37 hivatkozási számú iránymutatásokat</w:t>
      </w:r>
      <w:r>
        <w:rPr>
          <w:i/>
          <w:iCs/>
        </w:rPr>
        <w:t xml:space="preserve"> (</w:t>
      </w:r>
      <w:proofErr w:type="spellStart"/>
      <w:r>
        <w:t>EBA</w:t>
      </w:r>
      <w:proofErr w:type="spellEnd"/>
      <w:r>
        <w:t>/</w:t>
      </w:r>
      <w:proofErr w:type="spellStart"/>
      <w:r>
        <w:t>GL</w:t>
      </w:r>
      <w:proofErr w:type="spellEnd"/>
      <w:r>
        <w:t>/2021/02)</w:t>
      </w:r>
    </w:p>
    <w:p w14:paraId="711CAE46" w14:textId="55519093" w:rsidR="00CA6053" w:rsidRDefault="009D09F9" w:rsidP="00BD4FE5">
      <w:pPr>
        <w:pStyle w:val="Listaszerbekezds"/>
        <w:numPr>
          <w:ilvl w:val="0"/>
          <w:numId w:val="212"/>
        </w:numPr>
      </w:pPr>
      <w:proofErr w:type="spellStart"/>
      <w:r w:rsidRPr="00281B1D">
        <w:rPr>
          <w:i/>
          <w:iCs/>
        </w:rPr>
        <w:t>Opinion</w:t>
      </w:r>
      <w:proofErr w:type="spellEnd"/>
      <w:r w:rsidRPr="00281B1D">
        <w:rPr>
          <w:i/>
          <w:iCs/>
        </w:rPr>
        <w:t xml:space="preserve"> of </w:t>
      </w:r>
      <w:proofErr w:type="spellStart"/>
      <w:r w:rsidRPr="00281B1D">
        <w:rPr>
          <w:i/>
          <w:iCs/>
        </w:rPr>
        <w:t>the</w:t>
      </w:r>
      <w:proofErr w:type="spellEnd"/>
      <w:r w:rsidRPr="00281B1D">
        <w:rPr>
          <w:i/>
          <w:iCs/>
        </w:rPr>
        <w:t xml:space="preserve"> European Banking </w:t>
      </w:r>
      <w:proofErr w:type="spellStart"/>
      <w:r w:rsidRPr="00281B1D">
        <w:rPr>
          <w:i/>
          <w:iCs/>
        </w:rPr>
        <w:t>Authority</w:t>
      </w:r>
      <w:proofErr w:type="spellEnd"/>
      <w:r w:rsidRPr="00281B1D">
        <w:rPr>
          <w:i/>
          <w:iCs/>
        </w:rPr>
        <w:t xml:space="preserve"> </w:t>
      </w:r>
      <w:proofErr w:type="spellStart"/>
      <w:r w:rsidRPr="00281B1D">
        <w:rPr>
          <w:i/>
          <w:iCs/>
        </w:rPr>
        <w:t>on</w:t>
      </w:r>
      <w:proofErr w:type="spellEnd"/>
      <w:r w:rsidRPr="00281B1D">
        <w:rPr>
          <w:i/>
          <w:iCs/>
        </w:rPr>
        <w:t xml:space="preserve"> </w:t>
      </w:r>
      <w:proofErr w:type="spellStart"/>
      <w:r w:rsidRPr="00281B1D">
        <w:rPr>
          <w:i/>
          <w:iCs/>
        </w:rPr>
        <w:t>the</w:t>
      </w:r>
      <w:proofErr w:type="spellEnd"/>
      <w:r w:rsidRPr="00281B1D">
        <w:rPr>
          <w:i/>
          <w:iCs/>
        </w:rPr>
        <w:t xml:space="preserve"> </w:t>
      </w:r>
      <w:proofErr w:type="spellStart"/>
      <w:r w:rsidRPr="00281B1D">
        <w:rPr>
          <w:i/>
          <w:iCs/>
        </w:rPr>
        <w:t>risks</w:t>
      </w:r>
      <w:proofErr w:type="spellEnd"/>
      <w:r w:rsidRPr="00281B1D">
        <w:rPr>
          <w:i/>
          <w:iCs/>
        </w:rPr>
        <w:t xml:space="preserve"> of </w:t>
      </w:r>
      <w:proofErr w:type="spellStart"/>
      <w:r w:rsidRPr="00281B1D">
        <w:rPr>
          <w:i/>
          <w:iCs/>
        </w:rPr>
        <w:t>money</w:t>
      </w:r>
      <w:proofErr w:type="spellEnd"/>
      <w:r w:rsidRPr="00281B1D">
        <w:rPr>
          <w:i/>
          <w:iCs/>
        </w:rPr>
        <w:t xml:space="preserve"> </w:t>
      </w:r>
      <w:proofErr w:type="spellStart"/>
      <w:r w:rsidRPr="00281B1D">
        <w:rPr>
          <w:i/>
          <w:iCs/>
        </w:rPr>
        <w:t>laundering</w:t>
      </w:r>
      <w:proofErr w:type="spellEnd"/>
      <w:r w:rsidRPr="00281B1D">
        <w:rPr>
          <w:i/>
          <w:iCs/>
        </w:rPr>
        <w:t xml:space="preserve"> and </w:t>
      </w:r>
      <w:proofErr w:type="spellStart"/>
      <w:r w:rsidRPr="00281B1D">
        <w:rPr>
          <w:i/>
          <w:iCs/>
        </w:rPr>
        <w:t>terrorist</w:t>
      </w:r>
      <w:proofErr w:type="spellEnd"/>
      <w:r w:rsidRPr="00281B1D">
        <w:rPr>
          <w:i/>
          <w:iCs/>
        </w:rPr>
        <w:t xml:space="preserve"> </w:t>
      </w:r>
      <w:proofErr w:type="spellStart"/>
      <w:r w:rsidRPr="00281B1D">
        <w:rPr>
          <w:i/>
          <w:iCs/>
        </w:rPr>
        <w:t>financing</w:t>
      </w:r>
      <w:proofErr w:type="spellEnd"/>
      <w:r w:rsidRPr="00281B1D">
        <w:rPr>
          <w:i/>
          <w:iCs/>
        </w:rPr>
        <w:t xml:space="preserve"> </w:t>
      </w:r>
      <w:proofErr w:type="spellStart"/>
      <w:r w:rsidRPr="00281B1D">
        <w:rPr>
          <w:i/>
          <w:iCs/>
        </w:rPr>
        <w:t>affecting</w:t>
      </w:r>
      <w:proofErr w:type="spellEnd"/>
      <w:r w:rsidRPr="00281B1D">
        <w:rPr>
          <w:i/>
          <w:iCs/>
        </w:rPr>
        <w:t xml:space="preserve"> </w:t>
      </w:r>
      <w:proofErr w:type="spellStart"/>
      <w:r w:rsidRPr="00281B1D">
        <w:rPr>
          <w:i/>
          <w:iCs/>
        </w:rPr>
        <w:t>the</w:t>
      </w:r>
      <w:proofErr w:type="spellEnd"/>
      <w:r w:rsidRPr="00281B1D">
        <w:rPr>
          <w:i/>
          <w:iCs/>
        </w:rPr>
        <w:t xml:space="preserve"> European </w:t>
      </w:r>
      <w:proofErr w:type="spellStart"/>
      <w:r w:rsidRPr="00281B1D">
        <w:rPr>
          <w:i/>
          <w:iCs/>
        </w:rPr>
        <w:t>Union’s</w:t>
      </w:r>
      <w:proofErr w:type="spellEnd"/>
      <w:r w:rsidRPr="00281B1D">
        <w:rPr>
          <w:i/>
          <w:iCs/>
        </w:rPr>
        <w:t xml:space="preserve"> </w:t>
      </w:r>
      <w:proofErr w:type="spellStart"/>
      <w:r w:rsidRPr="00281B1D">
        <w:rPr>
          <w:i/>
          <w:iCs/>
        </w:rPr>
        <w:t>financial</w:t>
      </w:r>
      <w:proofErr w:type="spellEnd"/>
      <w:r w:rsidRPr="00281B1D">
        <w:rPr>
          <w:i/>
          <w:iCs/>
        </w:rPr>
        <w:t xml:space="preserve"> sector </w:t>
      </w:r>
      <w:r w:rsidRPr="00A07F4E">
        <w:t>(</w:t>
      </w:r>
      <w:proofErr w:type="spellStart"/>
      <w:r w:rsidRPr="00281B1D">
        <w:rPr>
          <w:b/>
          <w:bCs/>
        </w:rPr>
        <w:t>EBA</w:t>
      </w:r>
      <w:proofErr w:type="spellEnd"/>
      <w:r w:rsidRPr="00281B1D">
        <w:rPr>
          <w:b/>
          <w:bCs/>
        </w:rPr>
        <w:t xml:space="preserve"> </w:t>
      </w:r>
      <w:proofErr w:type="spellStart"/>
      <w:r w:rsidRPr="00281B1D">
        <w:rPr>
          <w:b/>
          <w:bCs/>
        </w:rPr>
        <w:t>Opinion</w:t>
      </w:r>
      <w:proofErr w:type="spellEnd"/>
      <w:r w:rsidRPr="00A07F4E">
        <w:t>)</w:t>
      </w:r>
    </w:p>
    <w:p w14:paraId="2D4C4C6D" w14:textId="0B9842D3" w:rsidR="00F84433" w:rsidRDefault="00F84433" w:rsidP="00FC37B3">
      <w:pPr>
        <w:spacing w:before="120"/>
      </w:pPr>
      <w:r w:rsidRPr="00A07F4E">
        <w:t xml:space="preserve">Az </w:t>
      </w:r>
      <w:proofErr w:type="spellStart"/>
      <w:r w:rsidRPr="005E5D99">
        <w:rPr>
          <w:b/>
          <w:bCs/>
        </w:rPr>
        <w:t>EBA</w:t>
      </w:r>
      <w:proofErr w:type="spellEnd"/>
      <w:r w:rsidRPr="005E5D99">
        <w:rPr>
          <w:b/>
          <w:bCs/>
        </w:rPr>
        <w:t xml:space="preserve"> </w:t>
      </w:r>
      <w:proofErr w:type="spellStart"/>
      <w:r w:rsidRPr="005E5D99">
        <w:rPr>
          <w:b/>
          <w:bCs/>
        </w:rPr>
        <w:t>Opinion</w:t>
      </w:r>
      <w:proofErr w:type="spellEnd"/>
      <w:r w:rsidRPr="00A07F4E">
        <w:t xml:space="preserve"> részben valamennyi </w:t>
      </w:r>
      <w:r w:rsidR="00A03E21">
        <w:t xml:space="preserve">külföldi </w:t>
      </w:r>
      <w:r w:rsidRPr="00A07F4E">
        <w:t>illetékes</w:t>
      </w:r>
      <w:r w:rsidR="00A03E21">
        <w:t xml:space="preserve"> felügyeleti</w:t>
      </w:r>
      <w:r w:rsidRPr="00A07F4E">
        <w:t xml:space="preserve"> hatóság által kitöltött kérdőíveken alapul, amely kérdőív</w:t>
      </w:r>
      <w:r w:rsidR="004B291D">
        <w:t xml:space="preserve">et az MNB </w:t>
      </w:r>
      <w:r w:rsidRPr="00A07F4E">
        <w:t xml:space="preserve">is kitöltötte és megküldte az </w:t>
      </w:r>
      <w:proofErr w:type="spellStart"/>
      <w:r w:rsidRPr="00A07F4E">
        <w:t>EBA-nak</w:t>
      </w:r>
      <w:proofErr w:type="spellEnd"/>
      <w:r w:rsidRPr="00A07F4E">
        <w:t xml:space="preserve">. </w:t>
      </w:r>
      <w:r w:rsidR="005972ED" w:rsidRPr="00A07F4E">
        <w:t>Az egyes szektorok értékelésénél a kérdőív</w:t>
      </w:r>
      <w:r w:rsidR="00DE478F" w:rsidRPr="00A07F4E">
        <w:t xml:space="preserve"> kitöltése során </w:t>
      </w:r>
      <w:r w:rsidR="005972ED" w:rsidRPr="00A07F4E">
        <w:t>megadott válaszok</w:t>
      </w:r>
      <w:r w:rsidR="004B291D">
        <w:t xml:space="preserve"> </w:t>
      </w:r>
      <w:r w:rsidR="005972ED" w:rsidRPr="00A07F4E">
        <w:t>részletez</w:t>
      </w:r>
      <w:r w:rsidR="004B291D">
        <w:t xml:space="preserve">ése is megtörtént. </w:t>
      </w:r>
      <w:r w:rsidR="005972ED" w:rsidRPr="00A07F4E">
        <w:t xml:space="preserve"> </w:t>
      </w:r>
    </w:p>
    <w:p w14:paraId="1E051B93" w14:textId="3E58E6B0" w:rsidR="006C4D68" w:rsidRPr="00A07F4E" w:rsidRDefault="00155F6D" w:rsidP="00C05E03">
      <w:r>
        <w:t>Jelen kockázatértékeléshez</w:t>
      </w:r>
      <w:r w:rsidR="003F5DF3">
        <w:t xml:space="preserve"> hozzájárul</w:t>
      </w:r>
      <w:r w:rsidR="00FF6D69">
        <w:t xml:space="preserve"> továbbá az</w:t>
      </w:r>
      <w:r w:rsidR="003F5DF3">
        <w:t xml:space="preserve"> </w:t>
      </w:r>
      <w:r w:rsidR="007015FF" w:rsidRPr="00281B1D">
        <w:t>Európai Felügyeleti Hatóságok (</w:t>
      </w:r>
      <w:proofErr w:type="spellStart"/>
      <w:r w:rsidR="007015FF" w:rsidRPr="00281B1D">
        <w:rPr>
          <w:b/>
          <w:bCs/>
        </w:rPr>
        <w:t>ESA</w:t>
      </w:r>
      <w:proofErr w:type="spellEnd"/>
      <w:r w:rsidR="007015FF" w:rsidRPr="00281B1D">
        <w:t>)</w:t>
      </w:r>
      <w:r w:rsidRPr="00281B1D">
        <w:t xml:space="preserve"> által kiadott</w:t>
      </w:r>
      <w:r>
        <w:t xml:space="preserve"> </w:t>
      </w:r>
      <w:r w:rsidR="003F5DF3" w:rsidRPr="00281B1D">
        <w:rPr>
          <w:i/>
          <w:iCs/>
        </w:rPr>
        <w:t>a hitelintézetek és pénzügyi intézmények felügyeletéért felelős illetékes hatóságok között az (EU) 2015/849 irányelv alkalmazásában történő együttműködésről és információcseréről</w:t>
      </w:r>
      <w:r w:rsidRPr="00281B1D">
        <w:t xml:space="preserve"> szóló iránymutatás</w:t>
      </w:r>
      <w:r>
        <w:t xml:space="preserve"> (</w:t>
      </w:r>
      <w:proofErr w:type="spellStart"/>
      <w:r w:rsidR="00C05E03">
        <w:t>JC</w:t>
      </w:r>
      <w:proofErr w:type="spellEnd"/>
      <w:r w:rsidR="00C05E03">
        <w:t>/2019/81</w:t>
      </w:r>
      <w:r>
        <w:t>)</w:t>
      </w:r>
      <w:r w:rsidR="00C05E03">
        <w:t xml:space="preserve"> (</w:t>
      </w:r>
      <w:proofErr w:type="spellStart"/>
      <w:r w:rsidR="0084793F" w:rsidRPr="00281B1D">
        <w:rPr>
          <w:rFonts w:cs="Times New Roman"/>
          <w:b/>
          <w:bCs/>
        </w:rPr>
        <w:t>AML</w:t>
      </w:r>
      <w:proofErr w:type="spellEnd"/>
      <w:r w:rsidR="0084793F" w:rsidRPr="00281B1D">
        <w:rPr>
          <w:rFonts w:cs="Times New Roman"/>
          <w:b/>
          <w:bCs/>
        </w:rPr>
        <w:t>/</w:t>
      </w:r>
      <w:proofErr w:type="spellStart"/>
      <w:r w:rsidR="0084793F" w:rsidRPr="00281B1D">
        <w:rPr>
          <w:rFonts w:cs="Times New Roman"/>
          <w:b/>
          <w:bCs/>
        </w:rPr>
        <w:t>CFT</w:t>
      </w:r>
      <w:proofErr w:type="spellEnd"/>
      <w:r w:rsidR="0084793F" w:rsidRPr="00281B1D">
        <w:rPr>
          <w:rFonts w:cs="Times New Roman"/>
          <w:b/>
          <w:bCs/>
        </w:rPr>
        <w:t xml:space="preserve"> kollégiumokról szóló </w:t>
      </w:r>
      <w:proofErr w:type="spellStart"/>
      <w:r w:rsidR="0084793F" w:rsidRPr="00281B1D">
        <w:rPr>
          <w:rFonts w:cs="Times New Roman"/>
          <w:b/>
          <w:bCs/>
        </w:rPr>
        <w:t>E</w:t>
      </w:r>
      <w:r w:rsidR="00A96D16">
        <w:rPr>
          <w:rFonts w:cs="Times New Roman"/>
          <w:b/>
          <w:bCs/>
        </w:rPr>
        <w:t>S</w:t>
      </w:r>
      <w:r w:rsidR="0084793F" w:rsidRPr="00281B1D">
        <w:rPr>
          <w:rFonts w:cs="Times New Roman"/>
          <w:b/>
          <w:bCs/>
        </w:rPr>
        <w:t>A</w:t>
      </w:r>
      <w:proofErr w:type="spellEnd"/>
      <w:r w:rsidR="0084793F" w:rsidRPr="00281B1D">
        <w:rPr>
          <w:rFonts w:cs="Times New Roman"/>
          <w:b/>
          <w:bCs/>
        </w:rPr>
        <w:t xml:space="preserve"> iránymutatás</w:t>
      </w:r>
      <w:r w:rsidR="00C05E03">
        <w:t>)</w:t>
      </w:r>
      <w:r w:rsidRPr="00281B1D">
        <w:t xml:space="preserve"> alapján felállított kollégiumok működése során szerezett </w:t>
      </w:r>
      <w:r>
        <w:t xml:space="preserve">egyes csoporthoz, annak tagjaihoz tartozó </w:t>
      </w:r>
      <w:r w:rsidRPr="00281B1D">
        <w:t>információk</w:t>
      </w:r>
      <w:r>
        <w:t xml:space="preserve">, kockázatok is egyaránt. </w:t>
      </w:r>
    </w:p>
    <w:p w14:paraId="04CF4600" w14:textId="56DC23D1" w:rsidR="009D09F9" w:rsidRPr="00A07F4E" w:rsidRDefault="00907600" w:rsidP="002E5A05">
      <w:r w:rsidRPr="00A07F4E">
        <w:t xml:space="preserve">Azon </w:t>
      </w:r>
      <w:r w:rsidR="002E5A05" w:rsidRPr="00A07F4E">
        <w:t>szektor</w:t>
      </w:r>
      <w:r w:rsidRPr="00A07F4E">
        <w:t>oknál</w:t>
      </w:r>
      <w:r w:rsidR="004B291D">
        <w:t xml:space="preserve">, </w:t>
      </w:r>
      <w:r w:rsidR="00BC611A" w:rsidRPr="00A07F4E">
        <w:t>a</w:t>
      </w:r>
      <w:r w:rsidRPr="00A07F4E">
        <w:t>hol</w:t>
      </w:r>
      <w:r w:rsidR="00BC611A" w:rsidRPr="00A07F4E">
        <w:t xml:space="preserve"> az </w:t>
      </w:r>
      <w:r w:rsidR="002E5A05" w:rsidRPr="00A07F4E">
        <w:t>üzleti modellek jelleg</w:t>
      </w:r>
      <w:r w:rsidR="003C6521" w:rsidRPr="00A07F4E">
        <w:t>e,</w:t>
      </w:r>
      <w:r w:rsidR="00BC611A" w:rsidRPr="00A07F4E">
        <w:t xml:space="preserve"> a szektor globális összefüggésben felmerülő sebezhetőségeknek a kitettség</w:t>
      </w:r>
      <w:r w:rsidR="003C6521" w:rsidRPr="00A07F4E">
        <w:t>e</w:t>
      </w:r>
      <w:r w:rsidR="00BC611A" w:rsidRPr="00A07F4E">
        <w:t xml:space="preserve">, illetve a pénzügyi </w:t>
      </w:r>
      <w:r w:rsidR="00A82EE2">
        <w:t xml:space="preserve">információs </w:t>
      </w:r>
      <w:r w:rsidR="00BC611A" w:rsidRPr="00A07F4E">
        <w:t xml:space="preserve">egység fenyegetettségi jelentései, riasztásai és tipológiái </w:t>
      </w:r>
      <w:r w:rsidR="0096774F" w:rsidRPr="00A07F4E">
        <w:t xml:space="preserve">külön </w:t>
      </w:r>
      <w:r w:rsidR="00BC611A" w:rsidRPr="00A07F4E">
        <w:t>nem kerül</w:t>
      </w:r>
      <w:r w:rsidR="003C6521" w:rsidRPr="00A07F4E">
        <w:t>t</w:t>
      </w:r>
      <w:r w:rsidR="00BC611A" w:rsidRPr="00A07F4E">
        <w:t>ek részletezésre, úgy a</w:t>
      </w:r>
      <w:r w:rsidR="004B291D">
        <w:t>z MNB</w:t>
      </w:r>
      <w:r w:rsidR="00BC611A" w:rsidRPr="00A07F4E">
        <w:t xml:space="preserve"> </w:t>
      </w:r>
      <w:r w:rsidR="00734F31" w:rsidRPr="009F3A30">
        <w:t>– amennyiben az adott szektor, alszektor vonatkozásában rendelkezésre állt –</w:t>
      </w:r>
      <w:r w:rsidR="00734F31" w:rsidRPr="00A07F4E">
        <w:t xml:space="preserve"> </w:t>
      </w:r>
      <w:r w:rsidR="00BC611A" w:rsidRPr="00A07F4E">
        <w:t>az NRA alapján értékelte az adott szektor érintett jellemzőit</w:t>
      </w:r>
      <w:r w:rsidR="006F4FD7" w:rsidRPr="00A07F4E">
        <w:t xml:space="preserve">. </w:t>
      </w:r>
    </w:p>
    <w:p w14:paraId="1EBD10EB" w14:textId="3D4810BC" w:rsidR="007818AA" w:rsidRPr="005A1AF1" w:rsidRDefault="000F0D66" w:rsidP="002E5A05">
      <w:r w:rsidRPr="00281B1D">
        <w:t>Jelen</w:t>
      </w:r>
      <w:r w:rsidR="00DF4854" w:rsidRPr="005A1AF1">
        <w:t xml:space="preserve"> </w:t>
      </w:r>
      <w:proofErr w:type="spellStart"/>
      <w:r w:rsidR="00DF4854" w:rsidRPr="005A1AF1">
        <w:t>szektorális</w:t>
      </w:r>
      <w:proofErr w:type="spellEnd"/>
      <w:r w:rsidR="00DF4854" w:rsidRPr="005A1AF1">
        <w:t xml:space="preserve"> kockázatértékelést a</w:t>
      </w:r>
      <w:r w:rsidRPr="00281B1D">
        <w:t xml:space="preserve">z MNB </w:t>
      </w:r>
      <w:r w:rsidR="00DF4854" w:rsidRPr="005A1AF1">
        <w:t xml:space="preserve">rendszeresen </w:t>
      </w:r>
      <w:r w:rsidR="00A82EE2">
        <w:t>(</w:t>
      </w:r>
      <w:r w:rsidR="005A24F5">
        <w:t>két</w:t>
      </w:r>
      <w:r w:rsidR="00DF4854" w:rsidRPr="00281B1D">
        <w:t>évente</w:t>
      </w:r>
      <w:r w:rsidR="00DF4854" w:rsidRPr="005A1AF1">
        <w:t xml:space="preserve">) vagy eseti jelleggel felülvizsgálja. </w:t>
      </w:r>
      <w:r w:rsidR="007818AA" w:rsidRPr="005A1AF1">
        <w:t>Amennyiben ML/</w:t>
      </w:r>
      <w:proofErr w:type="spellStart"/>
      <w:r w:rsidR="007818AA" w:rsidRPr="005A1AF1">
        <w:t>TF</w:t>
      </w:r>
      <w:proofErr w:type="spellEnd"/>
      <w:r w:rsidR="007818AA" w:rsidRPr="005A1AF1">
        <w:t xml:space="preserve"> kockázatot növelő tényező </w:t>
      </w:r>
      <w:r w:rsidR="00BF1E62" w:rsidRPr="005A1AF1">
        <w:t>merül fel</w:t>
      </w:r>
      <w:r w:rsidR="007818AA" w:rsidRPr="005A1AF1">
        <w:t xml:space="preserve">, úgy jelen kockázatértékelés </w:t>
      </w:r>
      <w:r w:rsidR="00BF1E62" w:rsidRPr="005A1AF1">
        <w:t>felülvizsgálata megtörténik</w:t>
      </w:r>
      <w:r w:rsidR="007818AA" w:rsidRPr="005A1AF1">
        <w:t xml:space="preserve"> és az azonosított kockázatnak megfelelően az érintett szektor</w:t>
      </w:r>
      <w:r w:rsidR="00BF1E62" w:rsidRPr="005A1AF1">
        <w:t>, alszektor</w:t>
      </w:r>
      <w:r w:rsidR="005618FD">
        <w:t xml:space="preserve">, illetve </w:t>
      </w:r>
      <w:proofErr w:type="spellStart"/>
      <w:r w:rsidR="005618FD">
        <w:t>al</w:t>
      </w:r>
      <w:proofErr w:type="spellEnd"/>
      <w:r w:rsidR="005618FD">
        <w:t>-alszektor</w:t>
      </w:r>
      <w:r w:rsidR="007818AA" w:rsidRPr="005A1AF1">
        <w:t xml:space="preserve"> </w:t>
      </w:r>
      <w:r w:rsidR="00BF1E62" w:rsidRPr="005A1AF1">
        <w:t>é</w:t>
      </w:r>
      <w:r w:rsidR="005E5D99">
        <w:t>rté</w:t>
      </w:r>
      <w:r w:rsidR="00BF1E62" w:rsidRPr="005A1AF1">
        <w:t>kelése a kockázatnak megfelelően</w:t>
      </w:r>
      <w:r w:rsidR="005E5D99">
        <w:t xml:space="preserve"> szintén</w:t>
      </w:r>
      <w:r w:rsidR="00BF1E62" w:rsidRPr="005A1AF1">
        <w:t xml:space="preserve"> módosul</w:t>
      </w:r>
      <w:r w:rsidR="007818AA" w:rsidRPr="005A1AF1">
        <w:t xml:space="preserve">. </w:t>
      </w:r>
    </w:p>
    <w:p w14:paraId="701DC5CA" w14:textId="31E128AE" w:rsidR="008A63C7" w:rsidRPr="00281B1D" w:rsidRDefault="00DF4854" w:rsidP="008A63C7">
      <w:pPr>
        <w:rPr>
          <w:highlight w:val="cyan"/>
        </w:rPr>
      </w:pPr>
      <w:r w:rsidRPr="005A1AF1">
        <w:t>A</w:t>
      </w:r>
      <w:r w:rsidR="00BF1E62" w:rsidRPr="00281B1D">
        <w:t xml:space="preserve">z MNB </w:t>
      </w:r>
      <w:r w:rsidRPr="005A1AF1">
        <w:t>rendszeresen felülvizsgálja a szolgáltatók részére közzétett útmutató</w:t>
      </w:r>
      <w:r w:rsidR="00FF6D69" w:rsidRPr="00281B1D">
        <w:t>k</w:t>
      </w:r>
      <w:r w:rsidRPr="005A1AF1">
        <w:t>, mintadokumentum</w:t>
      </w:r>
      <w:r w:rsidR="007C5767" w:rsidRPr="00281B1D">
        <w:t>o</w:t>
      </w:r>
      <w:r w:rsidR="00FF6D69" w:rsidRPr="00281B1D">
        <w:t>k</w:t>
      </w:r>
      <w:r w:rsidRPr="005A1AF1">
        <w:t>, vagy tájékoztatás</w:t>
      </w:r>
      <w:r w:rsidR="00FF6D69" w:rsidRPr="00281B1D">
        <w:t>ok</w:t>
      </w:r>
      <w:r w:rsidRPr="005A1AF1">
        <w:t xml:space="preserve"> megfelelőségét, többek között a nemzeti vagy európai jogszabályok változásait, a nemzeti vagy </w:t>
      </w:r>
      <w:r w:rsidR="005E5D99">
        <w:t>s</w:t>
      </w:r>
      <w:r w:rsidR="00A340CA" w:rsidRPr="005A1AF1">
        <w:t xml:space="preserve">zupranacionális </w:t>
      </w:r>
      <w:r w:rsidRPr="005A1AF1">
        <w:t xml:space="preserve">kockázatértékelés módosításait, illetve a </w:t>
      </w:r>
      <w:r w:rsidR="00FF6D69" w:rsidRPr="00281B1D">
        <w:t xml:space="preserve">jelen </w:t>
      </w:r>
      <w:r w:rsidRPr="005A1AF1">
        <w:t>kockázatértékelés módosításait követően.</w:t>
      </w:r>
    </w:p>
    <w:p w14:paraId="4139D5FC" w14:textId="57BE3D1B" w:rsidR="008A63C7" w:rsidRDefault="00E47912" w:rsidP="008A63C7">
      <w:r w:rsidRPr="00281B1D">
        <w:t xml:space="preserve">Jelen kockázatértékelésben használt fogalmak – eltérő rendelkezés hiányában – a </w:t>
      </w:r>
      <w:proofErr w:type="spellStart"/>
      <w:r w:rsidRPr="008A63C7">
        <w:t>Pmt</w:t>
      </w:r>
      <w:proofErr w:type="spellEnd"/>
      <w:r w:rsidRPr="008A63C7">
        <w:t xml:space="preserve">. </w:t>
      </w:r>
      <w:r w:rsidRPr="00281B1D">
        <w:t>és az Európai Unió és az ENSZ Biztonsági Tanácsa által elrendelt pénzügyi és vagyoni korlátozó intézkedések végrehajtásáról szóló törvény szerinti szűrőrendszer kidolgozásának és működtetése minimumkövetelményeinek részletes szabályairól szóló 26/2020. (VIII. 25.) MNB rendelet (</w:t>
      </w:r>
      <w:r w:rsidRPr="00281B1D">
        <w:rPr>
          <w:b/>
          <w:bCs/>
        </w:rPr>
        <w:t>MNB Rendelet</w:t>
      </w:r>
      <w:r w:rsidRPr="00281B1D">
        <w:t>) meghatározottak szerint értelmezendők.</w:t>
      </w:r>
    </w:p>
    <w:p w14:paraId="5B0844CE" w14:textId="41538AC5" w:rsidR="00F71E49" w:rsidRDefault="00D31BD1">
      <w:pPr>
        <w:pStyle w:val="Cmsor1"/>
      </w:pPr>
      <w:bookmarkStart w:id="1" w:name="_Toc109906004"/>
      <w:r>
        <w:lastRenderedPageBreak/>
        <w:t xml:space="preserve">A </w:t>
      </w:r>
      <w:r w:rsidR="0006460D">
        <w:t>P</w:t>
      </w:r>
      <w:r w:rsidR="00F71E49">
        <w:t>andémia és az orosz-ukrán konfliktus hatásai</w:t>
      </w:r>
      <w:bookmarkEnd w:id="1"/>
      <w:r w:rsidR="00F71E49">
        <w:t xml:space="preserve"> </w:t>
      </w:r>
    </w:p>
    <w:p w14:paraId="46DEB0C5" w14:textId="089D3B8C" w:rsidR="00E24CD3" w:rsidRDefault="00F71E49" w:rsidP="00E24CD3">
      <w:r w:rsidRPr="003A2A02">
        <w:t>A</w:t>
      </w:r>
      <w:r>
        <w:t xml:space="preserve"> COVID-19</w:t>
      </w:r>
      <w:r w:rsidRPr="003A2A02">
        <w:t xml:space="preserve"> világjárvány</w:t>
      </w:r>
      <w:r>
        <w:t xml:space="preserve"> jelentős befolyást gyakorolt a pénzügyi rendszerre,</w:t>
      </w:r>
      <w:r w:rsidRPr="00CD1D49">
        <w:t xml:space="preserve"> </w:t>
      </w:r>
      <w:r>
        <w:t>új kihívásokkal néztek szembe a szolgáltatók</w:t>
      </w:r>
      <w:r w:rsidR="00E65991">
        <w:t>. Az</w:t>
      </w:r>
      <w:r w:rsidR="0085343A">
        <w:t xml:space="preserve"> eddig nem tapasztalt, sajátos helyzetre</w:t>
      </w:r>
      <w:r w:rsidR="00BF0C62">
        <w:t>, új kockázatokra</w:t>
      </w:r>
      <w:r w:rsidR="0085343A">
        <w:t xml:space="preserve"> az </w:t>
      </w:r>
      <w:proofErr w:type="spellStart"/>
      <w:r w:rsidR="0085343A">
        <w:t>EBA</w:t>
      </w:r>
      <w:proofErr w:type="spellEnd"/>
      <w:r w:rsidR="0085343A">
        <w:t xml:space="preserve"> </w:t>
      </w:r>
      <w:proofErr w:type="spellStart"/>
      <w:r w:rsidR="0085343A">
        <w:t>Opinion</w:t>
      </w:r>
      <w:proofErr w:type="spellEnd"/>
      <w:r w:rsidR="0085343A">
        <w:t xml:space="preserve"> is kitér. A</w:t>
      </w:r>
      <w:r>
        <w:t xml:space="preserve"> pandémia egyes szolgáltatók bevételeinek csökkenését eredményezte, amelynek következménye lehetett munkavállalók elbocsátása, ezzel hatást gyakorolva a szolgáltatók </w:t>
      </w:r>
      <w:proofErr w:type="spellStart"/>
      <w:r w:rsidRPr="003A2A02">
        <w:t>AML</w:t>
      </w:r>
      <w:proofErr w:type="spellEnd"/>
      <w:r w:rsidRPr="003A2A02">
        <w:t>/</w:t>
      </w:r>
      <w:proofErr w:type="spellStart"/>
      <w:r w:rsidRPr="003A2A02">
        <w:t>CFT</w:t>
      </w:r>
      <w:proofErr w:type="spellEnd"/>
      <w:r>
        <w:t xml:space="preserve"> </w:t>
      </w:r>
      <w:r w:rsidRPr="003A2A02">
        <w:t>megfelelésé</w:t>
      </w:r>
      <w:r>
        <w:t>re</w:t>
      </w:r>
      <w:r w:rsidR="008823FB">
        <w:t xml:space="preserve"> is egyaránt</w:t>
      </w:r>
      <w:r>
        <w:t xml:space="preserve">. Az emberi érintkezések mérséklése érdekében az ügyfél-átvilágítási intézkedéseket a szolgáltatók nem személyesen, hanem távolról végzik/végezték, amely </w:t>
      </w:r>
      <w:r w:rsidR="008823FB">
        <w:t xml:space="preserve">eljárás </w:t>
      </w:r>
      <w:r>
        <w:t>nagyobb ML/</w:t>
      </w:r>
      <w:proofErr w:type="spellStart"/>
      <w:r>
        <w:t>TF</w:t>
      </w:r>
      <w:proofErr w:type="spellEnd"/>
      <w:r>
        <w:t xml:space="preserve"> kockázatot rejt/rejtett magában, különösen arra a tényre tekintettel, hogy a távoli azonosításra a szolgáltatóknak gyorsan kellett átállniuk, amely tovább növelte a távoli azonosításra használt rendszerekkel járó </w:t>
      </w:r>
      <w:r w:rsidRPr="0011224F">
        <w:t xml:space="preserve">kockázatokat, illetve egyúttal csökkentette a kockázatok mérséklése érdekében hozott intézkedések hatékonyságát. A járványhelyzetre tekintettel új tipológiák bevezetése </w:t>
      </w:r>
      <w:r w:rsidR="00096660" w:rsidRPr="005A2E27">
        <w:t>is</w:t>
      </w:r>
      <w:r w:rsidR="00096660" w:rsidRPr="00A105A3">
        <w:t xml:space="preserve"> szükségessé</w:t>
      </w:r>
      <w:r w:rsidR="00096660" w:rsidRPr="005A2E27">
        <w:t xml:space="preserve"> </w:t>
      </w:r>
      <w:r w:rsidRPr="0011224F">
        <w:t>vált.</w:t>
      </w:r>
      <w:r w:rsidR="00245510" w:rsidRPr="0011224F">
        <w:t xml:space="preserve"> </w:t>
      </w:r>
      <w:r w:rsidRPr="0011224F">
        <w:t>A pandémiás helyzet átrendezte továbbá</w:t>
      </w:r>
      <w:r>
        <w:t xml:space="preserve"> </w:t>
      </w:r>
      <w:r w:rsidRPr="008A2C68">
        <w:t>sok esetben az üzleti szokásokat</w:t>
      </w:r>
      <w:r>
        <w:t>, amely nehezítette</w:t>
      </w:r>
      <w:r w:rsidRPr="008A2C68">
        <w:t xml:space="preserve"> a tranzakciós szűrések során az ügyfél profil alapú figyeléseket. </w:t>
      </w:r>
      <w:r>
        <w:t xml:space="preserve">A pénzügyi rendszerre hatással volt a nagymértékű, hektikus árfolyamingadozás is, amely már önmagában növelte a tőkekivonást a </w:t>
      </w:r>
      <w:r w:rsidR="008823FB">
        <w:t>pénzügyi rendszerből</w:t>
      </w:r>
      <w:r>
        <w:t xml:space="preserve">, ezzel </w:t>
      </w:r>
      <w:r w:rsidRPr="008A2C68">
        <w:t>turbulenciá</w:t>
      </w:r>
      <w:r>
        <w:t xml:space="preserve">t okozva a szolgáltatók szűrési gyakorlatában. </w:t>
      </w:r>
      <w:r w:rsidR="00E24CD3">
        <w:t xml:space="preserve">A pandémia hozadéka továbbá, hogy a bankkártyával történő fizetés szélesebb körben történő elterjedése, készpénz használatától, aki teheti tartózkodik, amely a készpénzhasználat fokozatos visszaszorulását eredményezheti.  </w:t>
      </w:r>
    </w:p>
    <w:p w14:paraId="3DF774BE" w14:textId="00927D5A" w:rsidR="00F71E49" w:rsidRDefault="00F71E49" w:rsidP="00F71E49">
      <w:r>
        <w:t xml:space="preserve">A COVID-19 világjárvány a felügyelet munkáját is nagyban befolyásolta, a járvány visszaszorítása érdekében, az </w:t>
      </w:r>
      <w:proofErr w:type="spellStart"/>
      <w:r>
        <w:t>EBA</w:t>
      </w:r>
      <w:proofErr w:type="spellEnd"/>
      <w:r>
        <w:t xml:space="preserve"> </w:t>
      </w:r>
      <w:proofErr w:type="spellStart"/>
      <w:r>
        <w:t>Opinion</w:t>
      </w:r>
      <w:proofErr w:type="spellEnd"/>
      <w:r>
        <w:t xml:space="preserve"> alapján megállapítható, hogy számos illetékes hatóság távolról végezte, végzi a felügyeleti tevékenységét. </w:t>
      </w:r>
    </w:p>
    <w:p w14:paraId="59467DC1" w14:textId="55EF7FA4" w:rsidR="00F71E49" w:rsidRDefault="00F71E49" w:rsidP="00F71E49">
      <w:pPr>
        <w:shd w:val="clear" w:color="auto" w:fill="FFFFFF"/>
        <w:spacing w:after="100" w:afterAutospacing="1"/>
        <w:rPr>
          <w:color w:val="1A2521"/>
        </w:rPr>
      </w:pPr>
      <w:r>
        <w:t xml:space="preserve">Orosz-ukrán konfliktus </w:t>
      </w:r>
      <w:r>
        <w:rPr>
          <w:color w:val="000000"/>
        </w:rPr>
        <w:t xml:space="preserve">következtében, EU </w:t>
      </w:r>
      <w:r>
        <w:rPr>
          <w:color w:val="1A2521"/>
        </w:rPr>
        <w:t>Oroszország ellen szankciókat vezetett be válaszul az Ukrajna elleni orosz katonai agresszióra, valamint az orosz fegyveres erők által Ukrajnában elkövetett atrocitásokra. Ezen konfliktus és a célzott pénzügyi szankciók mellett bevezetett atipikus szankciók jelentős hatást gyakorolnak a pénzügyi rendszerre</w:t>
      </w:r>
      <w:r w:rsidR="00245510">
        <w:rPr>
          <w:color w:val="1A2521"/>
        </w:rPr>
        <w:t>, e</w:t>
      </w:r>
      <w:r>
        <w:rPr>
          <w:color w:val="1A2521"/>
        </w:rPr>
        <w:t xml:space="preserve">gyes atipikus szankciók plusz jelentéstételi kötelezettséget is előírnak a szolgáltatóknak. </w:t>
      </w:r>
      <w:r w:rsidR="005F719C">
        <w:rPr>
          <w:color w:val="1A2521"/>
        </w:rPr>
        <w:t xml:space="preserve">Az orosz-ukrán konfliktus hátasa továbbá az orosz tőke kivonulása az EU pénzügyi rendszeréből, illetve </w:t>
      </w:r>
      <w:r w:rsidR="00936A34">
        <w:rPr>
          <w:color w:val="1A2521"/>
        </w:rPr>
        <w:t xml:space="preserve">a háború elől </w:t>
      </w:r>
      <w:r w:rsidR="00AE169B">
        <w:rPr>
          <w:color w:val="1A2521"/>
        </w:rPr>
        <w:t xml:space="preserve">az EU-ba, </w:t>
      </w:r>
      <w:r w:rsidR="00936A34">
        <w:rPr>
          <w:color w:val="1A2521"/>
        </w:rPr>
        <w:t>Magyarországra érkező</w:t>
      </w:r>
      <w:r w:rsidR="005F719C">
        <w:rPr>
          <w:color w:val="1A2521"/>
        </w:rPr>
        <w:t xml:space="preserve"> menekültek megjelenése. Így a</w:t>
      </w:r>
      <w:r>
        <w:rPr>
          <w:color w:val="1A2521"/>
        </w:rPr>
        <w:t xml:space="preserve"> szolgáltatóknak a szankciók betartása mellett, különös figyelmet szükséges fordítaniuk arra, hogy az ukrán menekültek számára megfelelően biztosítsák </w:t>
      </w:r>
      <w:r>
        <w:t>a hozzáférést az EU pénzügyi rendszeréhez</w:t>
      </w:r>
      <w:r>
        <w:rPr>
          <w:color w:val="1A2521"/>
        </w:rPr>
        <w:t xml:space="preserve">. Jelen helyzetben a szolgáltatók szerepvállalása felértékelődik és nagyobb hangsúly helyeződik a szankciók betartásának biztosítására, </w:t>
      </w:r>
      <w:r w:rsidR="0055789A">
        <w:rPr>
          <w:color w:val="1A2521"/>
        </w:rPr>
        <w:t xml:space="preserve">így </w:t>
      </w:r>
      <w:r w:rsidR="00AE169B">
        <w:rPr>
          <w:color w:val="1A2521"/>
        </w:rPr>
        <w:t xml:space="preserve">feltételezhető, hogy </w:t>
      </w:r>
      <w:r>
        <w:rPr>
          <w:color w:val="1A2521"/>
        </w:rPr>
        <w:t xml:space="preserve">a szolgáltatók </w:t>
      </w:r>
      <w:proofErr w:type="spellStart"/>
      <w:r>
        <w:rPr>
          <w:color w:val="1A2521"/>
        </w:rPr>
        <w:t>AML</w:t>
      </w:r>
      <w:proofErr w:type="spellEnd"/>
      <w:r>
        <w:rPr>
          <w:color w:val="1A2521"/>
        </w:rPr>
        <w:t>/</w:t>
      </w:r>
      <w:proofErr w:type="spellStart"/>
      <w:r>
        <w:rPr>
          <w:color w:val="1A2521"/>
        </w:rPr>
        <w:t>CFT</w:t>
      </w:r>
      <w:proofErr w:type="spellEnd"/>
      <w:r>
        <w:rPr>
          <w:color w:val="1A2521"/>
        </w:rPr>
        <w:t xml:space="preserve"> erőforrásának jelentős része a szankciós területre összpontosul.  </w:t>
      </w:r>
    </w:p>
    <w:p w14:paraId="20AF78C2" w14:textId="45CA7032" w:rsidR="00F71E49" w:rsidRDefault="0055789A">
      <w:r>
        <w:t xml:space="preserve">Mind a COVID-19 világjárvány, mind az orosz-ukrán konfliktus érezteti a hatását </w:t>
      </w:r>
      <w:r w:rsidR="00F71E49">
        <w:t>valamennyi szektorban</w:t>
      </w:r>
      <w:r w:rsidR="00B22F30">
        <w:t>,</w:t>
      </w:r>
      <w:r w:rsidR="00A16BE8">
        <w:t xml:space="preserve"> </w:t>
      </w:r>
      <w:r w:rsidR="00B22F30">
        <w:t>amelyhez társítható ML/</w:t>
      </w:r>
      <w:proofErr w:type="spellStart"/>
      <w:r w:rsidR="00B22F30">
        <w:t>TF</w:t>
      </w:r>
      <w:proofErr w:type="spellEnd"/>
      <w:r w:rsidR="00F07DA3">
        <w:t xml:space="preserve"> kockázatok az inherens kockázatok meghatározásánál </w:t>
      </w:r>
      <w:r w:rsidR="00585E3C">
        <w:t xml:space="preserve">minden esetben </w:t>
      </w:r>
      <w:r w:rsidR="00F07DA3">
        <w:t>figyelembevételre kerültek</w:t>
      </w:r>
      <w:r w:rsidR="00245510">
        <w:t xml:space="preserve">. </w:t>
      </w:r>
    </w:p>
    <w:p w14:paraId="023F127F" w14:textId="12381F03" w:rsidR="00E57F87" w:rsidRDefault="00E57F87">
      <w:pPr>
        <w:spacing w:after="0" w:line="240" w:lineRule="auto"/>
        <w:jc w:val="left"/>
      </w:pPr>
      <w:r>
        <w:br w:type="page"/>
      </w:r>
    </w:p>
    <w:p w14:paraId="500FBF8D" w14:textId="68B74CC0" w:rsidR="008A63C7" w:rsidRDefault="008A63C7">
      <w:pPr>
        <w:pStyle w:val="Cmsor1"/>
      </w:pPr>
      <w:bookmarkStart w:id="2" w:name="_Toc109906005"/>
      <w:r>
        <w:lastRenderedPageBreak/>
        <w:t>Kockázatértékelés</w:t>
      </w:r>
      <w:bookmarkEnd w:id="2"/>
    </w:p>
    <w:p w14:paraId="563ED392" w14:textId="14860343" w:rsidR="000550A7" w:rsidRPr="008A63C7" w:rsidRDefault="000550A7" w:rsidP="00495166">
      <w:pPr>
        <w:pStyle w:val="Cmsor2"/>
      </w:pPr>
      <w:bookmarkStart w:id="3" w:name="_Toc109906006"/>
      <w:r w:rsidRPr="008A63C7">
        <w:t>Hitelintézet</w:t>
      </w:r>
      <w:r w:rsidR="001873B4" w:rsidRPr="008A63C7">
        <w:t>i szektor</w:t>
      </w:r>
      <w:r w:rsidR="00C1449C">
        <w:rPr>
          <w:rStyle w:val="Lbjegyzet-hivatkozs"/>
        </w:rPr>
        <w:footnoteReference w:id="2"/>
      </w:r>
      <w:bookmarkEnd w:id="3"/>
    </w:p>
    <w:p w14:paraId="43477DD4" w14:textId="77777777" w:rsidR="007C23C1" w:rsidRPr="00A07F4E" w:rsidRDefault="00195C7F" w:rsidP="007322B4">
      <w:pPr>
        <w:pStyle w:val="Cmsor3"/>
        <w:numPr>
          <w:ilvl w:val="0"/>
          <w:numId w:val="69"/>
        </w:numPr>
        <w:ind w:left="567" w:hanging="283"/>
      </w:pPr>
      <w:bookmarkStart w:id="4" w:name="_Toc109906007"/>
      <w:r w:rsidRPr="00A07F4E">
        <w:t>A szektor méretére, tevékenységi körére és összetettségére vonatkozó információk összesített formában</w:t>
      </w:r>
      <w:bookmarkEnd w:id="4"/>
    </w:p>
    <w:p w14:paraId="28B2F62C" w14:textId="263BBCA4" w:rsidR="001043EB" w:rsidRPr="00A07F4E" w:rsidRDefault="001043EB" w:rsidP="001043EB">
      <w:r w:rsidRPr="00A07F4E">
        <w:t xml:space="preserve">Magyarországon </w:t>
      </w:r>
      <w:r w:rsidR="001873B4" w:rsidRPr="00A07F4E">
        <w:t>tevékenységet folytató</w:t>
      </w:r>
      <w:r w:rsidR="00BD173C" w:rsidRPr="00A07F4E">
        <w:t xml:space="preserve">, </w:t>
      </w:r>
      <w:r w:rsidR="00DA131E">
        <w:t>az MNB</w:t>
      </w:r>
      <w:r w:rsidR="00BD173C" w:rsidRPr="00A07F4E">
        <w:t xml:space="preserve"> felügyelete alá tartozó</w:t>
      </w:r>
      <w:r w:rsidR="001873B4" w:rsidRPr="00A07F4E">
        <w:t xml:space="preserve"> </w:t>
      </w:r>
      <w:r w:rsidRPr="00A07F4E">
        <w:t xml:space="preserve">hitelintézetek száma </w:t>
      </w:r>
      <w:r w:rsidR="00487842" w:rsidRPr="00FC37B3">
        <w:t>4</w:t>
      </w:r>
      <w:r w:rsidR="00A86A7F" w:rsidRPr="00FC37B3">
        <w:t xml:space="preserve">0 és </w:t>
      </w:r>
      <w:r w:rsidR="001E7577" w:rsidRPr="00FC37B3">
        <w:t>5</w:t>
      </w:r>
      <w:r w:rsidR="00A86A7F" w:rsidRPr="00FC37B3">
        <w:t>0 közötti</w:t>
      </w:r>
      <w:r w:rsidR="00A86A7F" w:rsidRPr="00A07F4E">
        <w:t xml:space="preserve">. </w:t>
      </w:r>
      <w:r w:rsidRPr="00A07F4E">
        <w:t>Összetettségét tekintve, több olyan hitelintéz</w:t>
      </w:r>
      <w:r w:rsidR="00E84A2D" w:rsidRPr="00A07F4E">
        <w:t>et</w:t>
      </w:r>
      <w:r w:rsidRPr="00A07F4E">
        <w:t xml:space="preserve"> található </w:t>
      </w:r>
      <w:r w:rsidR="00E84A2D" w:rsidRPr="00A07F4E">
        <w:t>Magyar</w:t>
      </w:r>
      <w:r w:rsidRPr="00A07F4E">
        <w:t>ország</w:t>
      </w:r>
      <w:r w:rsidR="00E84A2D" w:rsidRPr="00A07F4E">
        <w:t>on</w:t>
      </w:r>
      <w:r w:rsidRPr="00A07F4E">
        <w:t xml:space="preserve">, </w:t>
      </w:r>
      <w:r w:rsidR="00E84A2D" w:rsidRPr="00A07F4E">
        <w:t>amelynek</w:t>
      </w:r>
      <w:r w:rsidRPr="00A07F4E">
        <w:t xml:space="preserve"> az anyavállalata más tagállamban került engedélyezésr</w:t>
      </w:r>
      <w:r w:rsidR="00E84A2D" w:rsidRPr="00A07F4E">
        <w:t xml:space="preserve">e. </w:t>
      </w:r>
      <w:r w:rsidR="00E70685">
        <w:rPr>
          <w:rFonts w:cs="Times New Roman"/>
        </w:rPr>
        <w:t xml:space="preserve">Jellemzően a hitelintézeti szektorhoz tartozó magyarországi hitelintézetek külföldi székhelyű hitelintézetnek a leányvállalatai, </w:t>
      </w:r>
      <w:proofErr w:type="spellStart"/>
      <w:r w:rsidR="00E70685">
        <w:rPr>
          <w:rFonts w:cs="Times New Roman"/>
        </w:rPr>
        <w:t>fióktelepei</w:t>
      </w:r>
      <w:proofErr w:type="spellEnd"/>
      <w:r w:rsidR="00E70685">
        <w:rPr>
          <w:rFonts w:cs="Times New Roman"/>
        </w:rPr>
        <w:t xml:space="preserve">. </w:t>
      </w:r>
      <w:r w:rsidR="00BB6BD7">
        <w:rPr>
          <w:rFonts w:cs="Times New Roman"/>
        </w:rPr>
        <w:t>Az anyavállalatok esetében</w:t>
      </w:r>
      <w:r w:rsidR="00E70685">
        <w:rPr>
          <w:rFonts w:cs="Times New Roman"/>
        </w:rPr>
        <w:t xml:space="preserve"> megállapítható, hogy jellemzően több mint három tagországban rendelkeznek leányvállalattal vagy fiókteleppel, így </w:t>
      </w:r>
      <w:r w:rsidR="00FC116C">
        <w:rPr>
          <w:rFonts w:cs="Times New Roman"/>
        </w:rPr>
        <w:t xml:space="preserve">az </w:t>
      </w:r>
      <w:proofErr w:type="spellStart"/>
      <w:r w:rsidR="00FC116C" w:rsidRPr="00FC116C">
        <w:rPr>
          <w:rFonts w:cs="Times New Roman"/>
        </w:rPr>
        <w:t>AML</w:t>
      </w:r>
      <w:proofErr w:type="spellEnd"/>
      <w:r w:rsidR="00FC116C" w:rsidRPr="00FC116C">
        <w:rPr>
          <w:rFonts w:cs="Times New Roman"/>
        </w:rPr>
        <w:t>/</w:t>
      </w:r>
      <w:proofErr w:type="spellStart"/>
      <w:r w:rsidR="00FC116C" w:rsidRPr="00FC116C">
        <w:rPr>
          <w:rFonts w:cs="Times New Roman"/>
        </w:rPr>
        <w:t>CFT</w:t>
      </w:r>
      <w:proofErr w:type="spellEnd"/>
      <w:r w:rsidR="00FC116C" w:rsidRPr="00FC116C">
        <w:rPr>
          <w:rFonts w:cs="Times New Roman"/>
        </w:rPr>
        <w:t xml:space="preserve"> kollégiumokról szóló </w:t>
      </w:r>
      <w:proofErr w:type="spellStart"/>
      <w:r w:rsidR="00FC116C" w:rsidRPr="00FC116C">
        <w:rPr>
          <w:rFonts w:cs="Times New Roman"/>
        </w:rPr>
        <w:t>E</w:t>
      </w:r>
      <w:r w:rsidR="00A96D16">
        <w:rPr>
          <w:rFonts w:cs="Times New Roman"/>
        </w:rPr>
        <w:t>S</w:t>
      </w:r>
      <w:r w:rsidR="00FC116C" w:rsidRPr="00FC116C">
        <w:rPr>
          <w:rFonts w:cs="Times New Roman"/>
        </w:rPr>
        <w:t>A</w:t>
      </w:r>
      <w:proofErr w:type="spellEnd"/>
      <w:r w:rsidR="00FC116C" w:rsidRPr="00FC116C">
        <w:rPr>
          <w:rFonts w:cs="Times New Roman"/>
        </w:rPr>
        <w:t xml:space="preserve"> iránymutatás</w:t>
      </w:r>
      <w:r w:rsidR="00FC116C">
        <w:rPr>
          <w:rFonts w:cs="Times New Roman"/>
        </w:rPr>
        <w:t xml:space="preserve"> </w:t>
      </w:r>
      <w:r w:rsidR="00E70685">
        <w:rPr>
          <w:rFonts w:cs="Times New Roman"/>
        </w:rPr>
        <w:t xml:space="preserve">alapján </w:t>
      </w:r>
      <w:r w:rsidR="00F53647">
        <w:rPr>
          <w:rFonts w:cs="Times New Roman"/>
        </w:rPr>
        <w:t xml:space="preserve">ezen esetekben </w:t>
      </w:r>
      <w:proofErr w:type="spellStart"/>
      <w:r w:rsidR="00F53647">
        <w:rPr>
          <w:rFonts w:cs="Times New Roman"/>
        </w:rPr>
        <w:t>AML</w:t>
      </w:r>
      <w:proofErr w:type="spellEnd"/>
      <w:r w:rsidR="00F53647">
        <w:rPr>
          <w:rFonts w:cs="Times New Roman"/>
        </w:rPr>
        <w:t>/</w:t>
      </w:r>
      <w:proofErr w:type="spellStart"/>
      <w:r w:rsidR="00F53647">
        <w:rPr>
          <w:rFonts w:cs="Times New Roman"/>
        </w:rPr>
        <w:t>CFT</w:t>
      </w:r>
      <w:proofErr w:type="spellEnd"/>
      <w:r w:rsidR="00F53647">
        <w:rPr>
          <w:rFonts w:cs="Times New Roman"/>
        </w:rPr>
        <w:t xml:space="preserve"> </w:t>
      </w:r>
      <w:r w:rsidR="00E70685">
        <w:rPr>
          <w:rFonts w:cs="Times New Roman"/>
        </w:rPr>
        <w:t>kollégium felállítása megtörtént. A</w:t>
      </w:r>
      <w:r w:rsidR="00643FAA">
        <w:rPr>
          <w:rFonts w:cs="Times New Roman"/>
        </w:rPr>
        <w:t xml:space="preserve">z </w:t>
      </w:r>
      <w:proofErr w:type="spellStart"/>
      <w:r w:rsidR="00643FAA">
        <w:rPr>
          <w:rFonts w:cs="Times New Roman"/>
        </w:rPr>
        <w:t>AML</w:t>
      </w:r>
      <w:proofErr w:type="spellEnd"/>
      <w:r w:rsidR="00643FAA">
        <w:rPr>
          <w:rFonts w:cs="Times New Roman"/>
        </w:rPr>
        <w:t>/</w:t>
      </w:r>
      <w:proofErr w:type="spellStart"/>
      <w:r w:rsidR="00643FAA">
        <w:rPr>
          <w:rFonts w:cs="Times New Roman"/>
        </w:rPr>
        <w:t>CFT</w:t>
      </w:r>
      <w:proofErr w:type="spellEnd"/>
      <w:r w:rsidR="00E70685">
        <w:rPr>
          <w:rFonts w:cs="Times New Roman"/>
        </w:rPr>
        <w:t xml:space="preserve"> kollégium keretében a tagországok illetékes hatóságai, illetve – a</w:t>
      </w:r>
      <w:r w:rsidR="00FC116C">
        <w:rPr>
          <w:rFonts w:cs="Times New Roman"/>
        </w:rPr>
        <w:t xml:space="preserve">z </w:t>
      </w:r>
      <w:proofErr w:type="spellStart"/>
      <w:r w:rsidR="00FC116C" w:rsidRPr="00FC116C">
        <w:rPr>
          <w:rFonts w:cs="Times New Roman"/>
        </w:rPr>
        <w:t>AML</w:t>
      </w:r>
      <w:proofErr w:type="spellEnd"/>
      <w:r w:rsidR="00FC116C" w:rsidRPr="00FC116C">
        <w:rPr>
          <w:rFonts w:cs="Times New Roman"/>
        </w:rPr>
        <w:t>/</w:t>
      </w:r>
      <w:proofErr w:type="spellStart"/>
      <w:r w:rsidR="00FC116C" w:rsidRPr="00FC116C">
        <w:rPr>
          <w:rFonts w:cs="Times New Roman"/>
        </w:rPr>
        <w:t>CFT</w:t>
      </w:r>
      <w:proofErr w:type="spellEnd"/>
      <w:r w:rsidR="00FC116C" w:rsidRPr="00FC116C">
        <w:rPr>
          <w:rFonts w:cs="Times New Roman"/>
        </w:rPr>
        <w:t xml:space="preserve"> kollégiumokról szóló </w:t>
      </w:r>
      <w:proofErr w:type="spellStart"/>
      <w:r w:rsidR="00FC116C" w:rsidRPr="00FC116C">
        <w:rPr>
          <w:rFonts w:cs="Times New Roman"/>
        </w:rPr>
        <w:t>E</w:t>
      </w:r>
      <w:r w:rsidR="00A96D16">
        <w:rPr>
          <w:rFonts w:cs="Times New Roman"/>
        </w:rPr>
        <w:t>S</w:t>
      </w:r>
      <w:r w:rsidR="00FC116C" w:rsidRPr="00FC116C">
        <w:rPr>
          <w:rFonts w:cs="Times New Roman"/>
        </w:rPr>
        <w:t>A</w:t>
      </w:r>
      <w:proofErr w:type="spellEnd"/>
      <w:r w:rsidR="00FC116C" w:rsidRPr="00FC116C">
        <w:rPr>
          <w:rFonts w:cs="Times New Roman"/>
        </w:rPr>
        <w:t xml:space="preserve"> iránymutatás</w:t>
      </w:r>
      <w:r w:rsidR="00E70685">
        <w:rPr>
          <w:rFonts w:cs="Times New Roman"/>
        </w:rPr>
        <w:t xml:space="preserve">ban meghatározott esetekben – harmadik országok felügyeletei közötti információcsere, tudásmegosztás történik, </w:t>
      </w:r>
      <w:r w:rsidR="00BA19BE">
        <w:rPr>
          <w:rFonts w:cs="Times New Roman"/>
        </w:rPr>
        <w:t xml:space="preserve">amely </w:t>
      </w:r>
      <w:r w:rsidR="00E70685">
        <w:rPr>
          <w:rFonts w:cs="Times New Roman"/>
        </w:rPr>
        <w:t>kockázatcsökkentő tényezőként értékelendő.</w:t>
      </w:r>
      <w:r w:rsidR="00BB6BD7">
        <w:rPr>
          <w:rFonts w:cs="Times New Roman"/>
        </w:rPr>
        <w:t xml:space="preserve"> </w:t>
      </w:r>
      <w:r w:rsidR="00BB6BD7" w:rsidRPr="00A07F4E">
        <w:t xml:space="preserve">Ezen tulajdonosi struktúra, külföldi érdekeltség a határokon átnyúló kockázatok értékelésénél </w:t>
      </w:r>
      <w:r w:rsidR="00BB6BD7">
        <w:t xml:space="preserve">is </w:t>
      </w:r>
      <w:r w:rsidR="00BB6BD7" w:rsidRPr="00A07F4E">
        <w:t>figyelembevételre került.</w:t>
      </w:r>
    </w:p>
    <w:p w14:paraId="749ACCC0" w14:textId="34EF8185" w:rsidR="00A0374B" w:rsidRDefault="00A0374B" w:rsidP="00A0374B">
      <w:pPr>
        <w:spacing w:before="120" w:after="120"/>
        <w:rPr>
          <w:rFonts w:cs="Times New Roman"/>
        </w:rPr>
      </w:pPr>
      <w:r w:rsidRPr="00A07F4E">
        <w:rPr>
          <w:rFonts w:cs="Times New Roman"/>
        </w:rPr>
        <w:t>A kölcsön</w:t>
      </w:r>
      <w:r w:rsidR="00643FAA">
        <w:rPr>
          <w:rFonts w:cs="Times New Roman"/>
        </w:rPr>
        <w:t>-</w:t>
      </w:r>
      <w:r w:rsidRPr="00A07F4E">
        <w:rPr>
          <w:rFonts w:cs="Times New Roman"/>
        </w:rPr>
        <w:t xml:space="preserve"> és hitelügyletek</w:t>
      </w:r>
      <w:r w:rsidR="005859EC" w:rsidRPr="009F3A30">
        <w:t>, valamint a</w:t>
      </w:r>
      <w:r w:rsidR="005859EC" w:rsidRPr="00A07F4E">
        <w:rPr>
          <w:rFonts w:cs="Times New Roman"/>
        </w:rPr>
        <w:t xml:space="preserve"> </w:t>
      </w:r>
      <w:r w:rsidRPr="00A07F4E">
        <w:rPr>
          <w:rFonts w:cs="Times New Roman"/>
        </w:rPr>
        <w:t xml:space="preserve">hitelkártyák elsődlegesen bankokhoz, egyéb szakosított hitelintézethez, jelzálog hitelintézetekhez kapcsolódnak. </w:t>
      </w:r>
      <w:r w:rsidR="0008332C" w:rsidRPr="00A07F4E">
        <w:rPr>
          <w:rFonts w:cs="Times New Roman"/>
        </w:rPr>
        <w:t>A hitelintézetek által végzett egyéb tevékenységekhez</w:t>
      </w:r>
      <w:r w:rsidR="00BD173C" w:rsidRPr="00A07F4E">
        <w:rPr>
          <w:rFonts w:cs="Times New Roman"/>
        </w:rPr>
        <w:t xml:space="preserve">, </w:t>
      </w:r>
      <w:r w:rsidR="00643FAA">
        <w:rPr>
          <w:rFonts w:cs="Times New Roman"/>
        </w:rPr>
        <w:t>így például</w:t>
      </w:r>
      <w:r w:rsidR="00643FAA" w:rsidRPr="00A07F4E">
        <w:rPr>
          <w:rFonts w:cs="Times New Roman"/>
        </w:rPr>
        <w:t xml:space="preserve"> </w:t>
      </w:r>
      <w:r w:rsidR="001F1D76" w:rsidRPr="00A07F4E">
        <w:rPr>
          <w:rFonts w:cs="Times New Roman"/>
        </w:rPr>
        <w:t xml:space="preserve">a </w:t>
      </w:r>
      <w:r w:rsidR="00BD173C" w:rsidRPr="00A07F4E">
        <w:rPr>
          <w:rFonts w:cs="Times New Roman"/>
        </w:rPr>
        <w:t>pénzforgalmi szolgáltatásokhoz, fizetési számlához</w:t>
      </w:r>
      <w:r w:rsidR="00310CEB" w:rsidRPr="00A07F4E">
        <w:rPr>
          <w:rFonts w:cs="Times New Roman"/>
        </w:rPr>
        <w:t>;</w:t>
      </w:r>
      <w:r w:rsidR="00BD173C" w:rsidRPr="00A07F4E">
        <w:rPr>
          <w:rFonts w:cs="Times New Roman"/>
        </w:rPr>
        <w:t xml:space="preserve"> biztosításhoz</w:t>
      </w:r>
      <w:r w:rsidR="00310CEB" w:rsidRPr="00A07F4E">
        <w:rPr>
          <w:rFonts w:cs="Times New Roman"/>
        </w:rPr>
        <w:t>;</w:t>
      </w:r>
      <w:r w:rsidR="00BD173C" w:rsidRPr="00A07F4E">
        <w:rPr>
          <w:rFonts w:cs="Times New Roman"/>
        </w:rPr>
        <w:t xml:space="preserve"> befektetési szolgált</w:t>
      </w:r>
      <w:r w:rsidR="00310CEB" w:rsidRPr="00A07F4E">
        <w:rPr>
          <w:rFonts w:cs="Times New Roman"/>
        </w:rPr>
        <w:t>a</w:t>
      </w:r>
      <w:r w:rsidR="00BD173C" w:rsidRPr="00A07F4E">
        <w:rPr>
          <w:rFonts w:cs="Times New Roman"/>
        </w:rPr>
        <w:t>tásokhoz</w:t>
      </w:r>
      <w:r w:rsidR="00310CEB" w:rsidRPr="00A07F4E">
        <w:rPr>
          <w:rFonts w:cs="Times New Roman"/>
        </w:rPr>
        <w:t>;</w:t>
      </w:r>
      <w:r w:rsidR="00BD173C" w:rsidRPr="00A07F4E">
        <w:rPr>
          <w:rFonts w:cs="Times New Roman"/>
        </w:rPr>
        <w:t xml:space="preserve"> pénzváltáshoz</w:t>
      </w:r>
      <w:r w:rsidR="00310CEB" w:rsidRPr="00A07F4E">
        <w:rPr>
          <w:rFonts w:cs="Times New Roman"/>
        </w:rPr>
        <w:t>;</w:t>
      </w:r>
      <w:r w:rsidR="00BD173C" w:rsidRPr="00A07F4E">
        <w:rPr>
          <w:rFonts w:cs="Times New Roman"/>
        </w:rPr>
        <w:t xml:space="preserve"> széfszolgáltatáshoz, </w:t>
      </w:r>
      <w:r w:rsidR="00626168" w:rsidRPr="00A07F4E">
        <w:rPr>
          <w:rFonts w:cs="Times New Roman"/>
        </w:rPr>
        <w:t xml:space="preserve">illetve esetlegesen a </w:t>
      </w:r>
      <w:r w:rsidR="00DA131E">
        <w:rPr>
          <w:rFonts w:cs="Times New Roman"/>
        </w:rPr>
        <w:t>pénzküldési szolgáltatások</w:t>
      </w:r>
      <w:r w:rsidR="00E65B04">
        <w:rPr>
          <w:rFonts w:cs="Times New Roman"/>
        </w:rPr>
        <w:t>hoz</w:t>
      </w:r>
      <w:r w:rsidR="00DA131E">
        <w:rPr>
          <w:rFonts w:cs="Times New Roman"/>
        </w:rPr>
        <w:t xml:space="preserve"> (</w:t>
      </w:r>
      <w:r w:rsidR="00BD173C" w:rsidRPr="00495166">
        <w:rPr>
          <w:rFonts w:cs="Times New Roman"/>
        </w:rPr>
        <w:t xml:space="preserve">Money </w:t>
      </w:r>
      <w:proofErr w:type="spellStart"/>
      <w:r w:rsidR="00BD173C" w:rsidRPr="00495166">
        <w:rPr>
          <w:rFonts w:cs="Times New Roman"/>
        </w:rPr>
        <w:t>or</w:t>
      </w:r>
      <w:proofErr w:type="spellEnd"/>
      <w:r w:rsidR="00BD173C" w:rsidRPr="00495166">
        <w:rPr>
          <w:rFonts w:cs="Times New Roman"/>
        </w:rPr>
        <w:t xml:space="preserve"> </w:t>
      </w:r>
      <w:proofErr w:type="spellStart"/>
      <w:r w:rsidR="00BD173C" w:rsidRPr="00495166">
        <w:rPr>
          <w:rFonts w:cs="Times New Roman"/>
        </w:rPr>
        <w:t>Value</w:t>
      </w:r>
      <w:proofErr w:type="spellEnd"/>
      <w:r w:rsidR="00BD173C" w:rsidRPr="00495166">
        <w:rPr>
          <w:rFonts w:cs="Times New Roman"/>
        </w:rPr>
        <w:t xml:space="preserve"> </w:t>
      </w:r>
      <w:proofErr w:type="spellStart"/>
      <w:r w:rsidR="00BD173C" w:rsidRPr="00495166">
        <w:rPr>
          <w:rFonts w:cs="Times New Roman"/>
        </w:rPr>
        <w:t>Transfer</w:t>
      </w:r>
      <w:proofErr w:type="spellEnd"/>
      <w:r w:rsidR="00BD173C" w:rsidRPr="00495166">
        <w:rPr>
          <w:rFonts w:cs="Times New Roman"/>
        </w:rPr>
        <w:t xml:space="preserve"> </w:t>
      </w:r>
      <w:proofErr w:type="spellStart"/>
      <w:r w:rsidR="00BD173C" w:rsidRPr="00495166">
        <w:rPr>
          <w:rFonts w:cs="Times New Roman"/>
        </w:rPr>
        <w:t>S</w:t>
      </w:r>
      <w:r w:rsidR="007322B4" w:rsidRPr="00495166">
        <w:rPr>
          <w:rFonts w:cs="Times New Roman"/>
        </w:rPr>
        <w:t>ervices</w:t>
      </w:r>
      <w:proofErr w:type="spellEnd"/>
      <w:r w:rsidR="00DA131E" w:rsidRPr="00495166">
        <w:rPr>
          <w:rFonts w:cs="Times New Roman"/>
        </w:rPr>
        <w:t>) (</w:t>
      </w:r>
      <w:proofErr w:type="spellStart"/>
      <w:r w:rsidR="00DA131E" w:rsidRPr="00495166">
        <w:rPr>
          <w:rFonts w:cs="Times New Roman"/>
          <w:b/>
          <w:bCs/>
        </w:rPr>
        <w:t>MVTS</w:t>
      </w:r>
      <w:proofErr w:type="spellEnd"/>
      <w:r w:rsidR="00DA131E" w:rsidRPr="00495166">
        <w:rPr>
          <w:rFonts w:cs="Times New Roman"/>
          <w:b/>
          <w:bCs/>
        </w:rPr>
        <w:t xml:space="preserve"> szolgáltatók</w:t>
      </w:r>
      <w:r w:rsidR="00DA131E" w:rsidRPr="00495166">
        <w:rPr>
          <w:rFonts w:cs="Times New Roman"/>
        </w:rPr>
        <w:t xml:space="preserve">) </w:t>
      </w:r>
      <w:r w:rsidR="00626168" w:rsidRPr="00A07F4E">
        <w:rPr>
          <w:rFonts w:cs="Times New Roman"/>
        </w:rPr>
        <w:t>és</w:t>
      </w:r>
      <w:r w:rsidR="00BD173C" w:rsidRPr="00A07F4E">
        <w:rPr>
          <w:rFonts w:cs="Times New Roman"/>
        </w:rPr>
        <w:t xml:space="preserve"> az elektronikus pénzhez kapcsolódó </w:t>
      </w:r>
      <w:r w:rsidR="0008332C" w:rsidRPr="00B10603">
        <w:rPr>
          <w:rFonts w:cs="Times New Roman"/>
        </w:rPr>
        <w:t>üzleti modellek jellegé</w:t>
      </w:r>
      <w:r w:rsidR="00AA0FBE" w:rsidRPr="00B10603">
        <w:rPr>
          <w:rFonts w:cs="Times New Roman"/>
        </w:rPr>
        <w:t>nek részletezését</w:t>
      </w:r>
      <w:r w:rsidR="0008332C" w:rsidRPr="00A07F4E">
        <w:rPr>
          <w:rFonts w:cs="Times New Roman"/>
        </w:rPr>
        <w:t xml:space="preserve"> </w:t>
      </w:r>
      <w:r w:rsidR="00BD173C" w:rsidRPr="00A07F4E">
        <w:rPr>
          <w:rFonts w:cs="Times New Roman"/>
        </w:rPr>
        <w:t xml:space="preserve">az </w:t>
      </w:r>
      <w:r w:rsidR="00863F9B" w:rsidRPr="00A07F4E">
        <w:rPr>
          <w:rFonts w:cs="Times New Roman"/>
        </w:rPr>
        <w:t>NRA</w:t>
      </w:r>
      <w:r w:rsidR="00BD173C" w:rsidRPr="00A07F4E">
        <w:rPr>
          <w:rFonts w:cs="Times New Roman"/>
        </w:rPr>
        <w:t xml:space="preserve"> tar</w:t>
      </w:r>
      <w:r w:rsidR="0008332C" w:rsidRPr="00A07F4E">
        <w:rPr>
          <w:rFonts w:cs="Times New Roman"/>
        </w:rPr>
        <w:t xml:space="preserve">talmazza. </w:t>
      </w:r>
    </w:p>
    <w:p w14:paraId="7C811E90" w14:textId="302835B0" w:rsidR="00C514A3" w:rsidRPr="00A07F4E" w:rsidRDefault="00C514A3" w:rsidP="00A0374B">
      <w:pPr>
        <w:spacing w:before="120" w:after="120"/>
        <w:rPr>
          <w:rFonts w:cs="Times New Roman"/>
        </w:rPr>
      </w:pPr>
      <w:r w:rsidRPr="00A07F4E">
        <w:rPr>
          <w:rFonts w:cs="Times New Roman"/>
        </w:rPr>
        <w:t xml:space="preserve">A hitelintézeti szektoron belül </w:t>
      </w:r>
      <w:r w:rsidR="00C2263B" w:rsidRPr="00A07F4E">
        <w:rPr>
          <w:rFonts w:cs="Times New Roman"/>
        </w:rPr>
        <w:t>a</w:t>
      </w:r>
      <w:r w:rsidR="00E65B04">
        <w:rPr>
          <w:rFonts w:cs="Times New Roman"/>
        </w:rPr>
        <w:t xml:space="preserve"> szolgáltatók</w:t>
      </w:r>
      <w:r w:rsidR="00C2263B" w:rsidRPr="00A07F4E">
        <w:rPr>
          <w:rFonts w:cs="Times New Roman"/>
        </w:rPr>
        <w:t xml:space="preserve"> </w:t>
      </w:r>
      <w:r w:rsidR="00E65B04" w:rsidRPr="00A07F4E">
        <w:rPr>
          <w:rFonts w:cs="Times New Roman"/>
        </w:rPr>
        <w:t>tevékenység</w:t>
      </w:r>
      <w:r w:rsidR="00E65B04">
        <w:rPr>
          <w:rFonts w:cs="Times New Roman"/>
        </w:rPr>
        <w:t>ének</w:t>
      </w:r>
      <w:r w:rsidR="00E65B04" w:rsidRPr="00A07F4E">
        <w:rPr>
          <w:rFonts w:cs="Times New Roman"/>
        </w:rPr>
        <w:t xml:space="preserve"> </w:t>
      </w:r>
      <w:r w:rsidR="00C2263B" w:rsidRPr="00A07F4E">
        <w:rPr>
          <w:rFonts w:cs="Times New Roman"/>
        </w:rPr>
        <w:t>jellege</w:t>
      </w:r>
      <w:r w:rsidR="00E65B04">
        <w:rPr>
          <w:rFonts w:cs="Times New Roman"/>
        </w:rPr>
        <w:t xml:space="preserve">, illetve a közös csoporthoz tartozás, </w:t>
      </w:r>
      <w:r w:rsidR="0044584C">
        <w:rPr>
          <w:rFonts w:cs="Times New Roman"/>
        </w:rPr>
        <w:t xml:space="preserve">az </w:t>
      </w:r>
      <w:proofErr w:type="spellStart"/>
      <w:r w:rsidR="00E65B04">
        <w:rPr>
          <w:rFonts w:cs="Times New Roman"/>
        </w:rPr>
        <w:t>AML</w:t>
      </w:r>
      <w:proofErr w:type="spellEnd"/>
      <w:r w:rsidR="00E65B04">
        <w:rPr>
          <w:rFonts w:cs="Times New Roman"/>
        </w:rPr>
        <w:t>/</w:t>
      </w:r>
      <w:proofErr w:type="spellStart"/>
      <w:r w:rsidR="00E65B04">
        <w:rPr>
          <w:rFonts w:cs="Times New Roman"/>
        </w:rPr>
        <w:t>CFT</w:t>
      </w:r>
      <w:proofErr w:type="spellEnd"/>
      <w:r w:rsidR="00E65B04">
        <w:rPr>
          <w:rFonts w:cs="Times New Roman"/>
        </w:rPr>
        <w:t xml:space="preserve"> kollégium felállítása</w:t>
      </w:r>
      <w:r w:rsidR="00C2263B" w:rsidRPr="00A07F4E">
        <w:rPr>
          <w:rFonts w:cs="Times New Roman"/>
        </w:rPr>
        <w:t xml:space="preserve"> szerint </w:t>
      </w:r>
      <w:r w:rsidRPr="00A07F4E">
        <w:rPr>
          <w:rFonts w:cs="Times New Roman"/>
        </w:rPr>
        <w:t>az alábbi alszektorok kerültek kialakításra:</w:t>
      </w:r>
    </w:p>
    <w:p w14:paraId="37432A5B" w14:textId="77777777" w:rsidR="00C514A3" w:rsidRDefault="00C514A3" w:rsidP="007A1308">
      <w:pPr>
        <w:pStyle w:val="Szvegtrzsbehzssal3"/>
        <w:numPr>
          <w:ilvl w:val="0"/>
          <w:numId w:val="21"/>
        </w:numPr>
        <w:spacing w:line="240" w:lineRule="auto"/>
        <w:rPr>
          <w:rFonts w:ascii="Calibri" w:eastAsia="Times New Roman" w:hAnsi="Calibri" w:cs="Calibri"/>
          <w:sz w:val="20"/>
          <w:szCs w:val="20"/>
        </w:rPr>
      </w:pPr>
      <w:r w:rsidRPr="00A07F4E">
        <w:rPr>
          <w:rFonts w:ascii="Calibri" w:eastAsia="Times New Roman" w:hAnsi="Calibri" w:cs="Calibri"/>
          <w:sz w:val="20"/>
          <w:szCs w:val="20"/>
        </w:rPr>
        <w:t>Szakosított hitelintézet</w:t>
      </w:r>
    </w:p>
    <w:p w14:paraId="666A436B" w14:textId="634898B7" w:rsidR="00C26EB5" w:rsidRPr="00A07F4E" w:rsidRDefault="00643FAA" w:rsidP="007A1308">
      <w:pPr>
        <w:pStyle w:val="Szvegtrzsbehzssal3"/>
        <w:numPr>
          <w:ilvl w:val="0"/>
          <w:numId w:val="21"/>
        </w:numPr>
        <w:spacing w:line="240" w:lineRule="auto"/>
        <w:rPr>
          <w:rFonts w:ascii="Calibri" w:eastAsia="Times New Roman" w:hAnsi="Calibri" w:cs="Calibri"/>
          <w:sz w:val="20"/>
          <w:szCs w:val="20"/>
        </w:rPr>
      </w:pPr>
      <w:proofErr w:type="spellStart"/>
      <w:r>
        <w:rPr>
          <w:rFonts w:ascii="Calibri" w:eastAsia="Times New Roman" w:hAnsi="Calibri" w:cs="Calibri"/>
          <w:sz w:val="20"/>
          <w:szCs w:val="20"/>
        </w:rPr>
        <w:t>AML</w:t>
      </w:r>
      <w:proofErr w:type="spellEnd"/>
      <w:r>
        <w:rPr>
          <w:rFonts w:ascii="Calibri" w:eastAsia="Times New Roman" w:hAnsi="Calibri" w:cs="Calibri"/>
          <w:sz w:val="20"/>
          <w:szCs w:val="20"/>
        </w:rPr>
        <w:t>/</w:t>
      </w:r>
      <w:proofErr w:type="spellStart"/>
      <w:r>
        <w:rPr>
          <w:rFonts w:ascii="Calibri" w:eastAsia="Times New Roman" w:hAnsi="Calibri" w:cs="Calibri"/>
          <w:sz w:val="20"/>
          <w:szCs w:val="20"/>
        </w:rPr>
        <w:t>CFT</w:t>
      </w:r>
      <w:proofErr w:type="spellEnd"/>
      <w:r>
        <w:rPr>
          <w:rFonts w:ascii="Calibri" w:eastAsia="Times New Roman" w:hAnsi="Calibri" w:cs="Calibri"/>
          <w:sz w:val="20"/>
          <w:szCs w:val="20"/>
        </w:rPr>
        <w:t xml:space="preserve"> </w:t>
      </w:r>
      <w:r w:rsidR="00C26EB5">
        <w:rPr>
          <w:rFonts w:ascii="Calibri" w:eastAsia="Times New Roman" w:hAnsi="Calibri" w:cs="Calibri"/>
          <w:sz w:val="20"/>
          <w:szCs w:val="20"/>
        </w:rPr>
        <w:t>kollégium mellett működő külföldi érintettségű csoport</w:t>
      </w:r>
      <w:r w:rsidR="00DB03D4">
        <w:rPr>
          <w:rFonts w:ascii="Calibri" w:eastAsia="Times New Roman" w:hAnsi="Calibri" w:cs="Calibri"/>
          <w:sz w:val="20"/>
          <w:szCs w:val="20"/>
        </w:rPr>
        <w:t>tag</w:t>
      </w:r>
    </w:p>
    <w:p w14:paraId="2EE95246" w14:textId="77777777" w:rsidR="00C514A3" w:rsidRPr="00A07F4E" w:rsidRDefault="00C514A3" w:rsidP="00C514A3">
      <w:pPr>
        <w:pStyle w:val="Szvegtrzsbehzssal3"/>
        <w:spacing w:line="240" w:lineRule="auto"/>
        <w:ind w:left="1080"/>
        <w:jc w:val="both"/>
        <w:rPr>
          <w:rFonts w:ascii="Calibri" w:eastAsia="Times New Roman" w:hAnsi="Calibri" w:cs="Calibri"/>
          <w:sz w:val="20"/>
          <w:szCs w:val="20"/>
        </w:rPr>
      </w:pPr>
    </w:p>
    <w:p w14:paraId="48062517" w14:textId="77777777" w:rsidR="007C23C1" w:rsidRPr="00A07F4E" w:rsidRDefault="007C23C1" w:rsidP="00A07F4E">
      <w:pPr>
        <w:pStyle w:val="Cmsor3"/>
        <w:numPr>
          <w:ilvl w:val="0"/>
          <w:numId w:val="69"/>
        </w:numPr>
        <w:ind w:left="567" w:hanging="283"/>
      </w:pPr>
      <w:bookmarkStart w:id="5" w:name="_Toc109906008"/>
      <w:r w:rsidRPr="00A07F4E">
        <w:t>Inherens kockázatértékelés:</w:t>
      </w:r>
      <w:bookmarkEnd w:id="5"/>
    </w:p>
    <w:p w14:paraId="2EC9BF25" w14:textId="77777777" w:rsidR="007377BD" w:rsidRPr="00A07F4E" w:rsidRDefault="007377BD" w:rsidP="00A07F4E">
      <w:pPr>
        <w:pStyle w:val="Listaszerbekezds"/>
        <w:numPr>
          <w:ilvl w:val="1"/>
          <w:numId w:val="13"/>
        </w:numPr>
        <w:ind w:left="851" w:hanging="284"/>
      </w:pPr>
      <w:r w:rsidRPr="00A07F4E">
        <w:t>A hitelintézeti szektorban rejlő ML/</w:t>
      </w:r>
      <w:proofErr w:type="spellStart"/>
      <w:r w:rsidRPr="00A07F4E">
        <w:t>TF</w:t>
      </w:r>
      <w:proofErr w:type="spellEnd"/>
      <w:r w:rsidRPr="00A07F4E">
        <w:t xml:space="preserve"> kockázati tényezők</w:t>
      </w:r>
    </w:p>
    <w:p w14:paraId="669EBAC1" w14:textId="68BB1AC3" w:rsidR="00056B99" w:rsidRDefault="00BF2782" w:rsidP="00B10603">
      <w:r>
        <w:t>Az MNB</w:t>
      </w:r>
      <w:r w:rsidR="006C2106" w:rsidRPr="00BF2782">
        <w:t xml:space="preserve"> a termékeknek/szolgáltatásoknak Nagyon jelentős kockázati besorolást rendelt, míg az ügyfele</w:t>
      </w:r>
      <w:r w:rsidR="001326A9" w:rsidRPr="00BF2782">
        <w:t>ket</w:t>
      </w:r>
      <w:r w:rsidR="006C2106" w:rsidRPr="00BF2782">
        <w:t xml:space="preserve">, </w:t>
      </w:r>
      <w:r w:rsidR="001326A9" w:rsidRPr="00BF2782">
        <w:t>földrajzi és étékesítési csatornát érintő kockázatok Jelentős kockázati besorolást kaptak.</w:t>
      </w:r>
      <w:r w:rsidR="001326A9" w:rsidRPr="00A07F4E">
        <w:t xml:space="preserve">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9B3996" w:rsidRPr="003168BA" w14:paraId="0D8D9C78" w14:textId="77777777" w:rsidTr="00300DCA">
        <w:tc>
          <w:tcPr>
            <w:tcW w:w="3061" w:type="dxa"/>
          </w:tcPr>
          <w:p w14:paraId="57021CB0" w14:textId="77777777" w:rsidR="009B3996" w:rsidRPr="00495166" w:rsidRDefault="009B3996" w:rsidP="00B10603">
            <w:pPr>
              <w:jc w:val="center"/>
              <w:rPr>
                <w:b/>
                <w:bCs/>
              </w:rPr>
            </w:pPr>
            <w:r w:rsidRPr="00495166">
              <w:rPr>
                <w:b/>
                <w:bCs/>
              </w:rPr>
              <w:t>Kockázat megnevezése</w:t>
            </w:r>
          </w:p>
        </w:tc>
        <w:tc>
          <w:tcPr>
            <w:tcW w:w="3035" w:type="dxa"/>
          </w:tcPr>
          <w:p w14:paraId="0713616F" w14:textId="77777777" w:rsidR="009B3996" w:rsidRPr="00495166" w:rsidRDefault="009B3996" w:rsidP="00B10603">
            <w:pPr>
              <w:jc w:val="center"/>
              <w:rPr>
                <w:b/>
                <w:bCs/>
              </w:rPr>
            </w:pPr>
            <w:r w:rsidRPr="00495166">
              <w:rPr>
                <w:b/>
                <w:bCs/>
              </w:rPr>
              <w:t>Kockázati érték</w:t>
            </w:r>
          </w:p>
        </w:tc>
      </w:tr>
      <w:tr w:rsidR="009B3996" w:rsidRPr="003168BA" w14:paraId="790CABC2" w14:textId="77777777" w:rsidTr="00495166">
        <w:tc>
          <w:tcPr>
            <w:tcW w:w="3061" w:type="dxa"/>
            <w:shd w:val="clear" w:color="auto" w:fill="auto"/>
          </w:tcPr>
          <w:p w14:paraId="0CB86377" w14:textId="77777777" w:rsidR="009B3996" w:rsidRPr="00554E41" w:rsidRDefault="009B3996" w:rsidP="00495166">
            <w:pPr>
              <w:jc w:val="center"/>
              <w:rPr>
                <w:highlight w:val="yellow"/>
              </w:rPr>
            </w:pPr>
            <w:r w:rsidRPr="00495166">
              <w:t>Termék/szolgáltatás</w:t>
            </w:r>
          </w:p>
        </w:tc>
        <w:tc>
          <w:tcPr>
            <w:tcW w:w="3035" w:type="dxa"/>
            <w:shd w:val="clear" w:color="auto" w:fill="FF0000"/>
          </w:tcPr>
          <w:p w14:paraId="18CC84BB" w14:textId="0A01309F" w:rsidR="009B3996" w:rsidRPr="00554E41" w:rsidRDefault="00BF2782" w:rsidP="00495166">
            <w:pPr>
              <w:jc w:val="center"/>
              <w:rPr>
                <w:highlight w:val="yellow"/>
              </w:rPr>
            </w:pPr>
            <w:r>
              <w:t>Nagyon j</w:t>
            </w:r>
            <w:r w:rsidR="006F1EE1">
              <w:t>elentős</w:t>
            </w:r>
          </w:p>
        </w:tc>
      </w:tr>
      <w:tr w:rsidR="009B3996" w14:paraId="2BE2C244" w14:textId="77777777" w:rsidTr="00C63813">
        <w:tc>
          <w:tcPr>
            <w:tcW w:w="3061" w:type="dxa"/>
          </w:tcPr>
          <w:p w14:paraId="762629A9" w14:textId="77777777" w:rsidR="009B3996" w:rsidRDefault="009B3996" w:rsidP="00495166">
            <w:pPr>
              <w:jc w:val="center"/>
            </w:pPr>
            <w:r>
              <w:t>Ügyfelek</w:t>
            </w:r>
          </w:p>
        </w:tc>
        <w:tc>
          <w:tcPr>
            <w:tcW w:w="3035" w:type="dxa"/>
            <w:shd w:val="clear" w:color="auto" w:fill="FFC000"/>
          </w:tcPr>
          <w:p w14:paraId="31191FB9" w14:textId="6A990A8C" w:rsidR="009B3996" w:rsidRDefault="00BF2782" w:rsidP="00495166">
            <w:pPr>
              <w:jc w:val="center"/>
            </w:pPr>
            <w:r>
              <w:t>Jelentős</w:t>
            </w:r>
          </w:p>
        </w:tc>
      </w:tr>
      <w:tr w:rsidR="009B3996" w14:paraId="7E06144D" w14:textId="77777777" w:rsidTr="00495166">
        <w:tc>
          <w:tcPr>
            <w:tcW w:w="3061" w:type="dxa"/>
          </w:tcPr>
          <w:p w14:paraId="35437E2D" w14:textId="77777777" w:rsidR="009B3996" w:rsidRDefault="009B3996" w:rsidP="00495166">
            <w:pPr>
              <w:jc w:val="center"/>
            </w:pPr>
            <w:r>
              <w:t>Földrajzi</w:t>
            </w:r>
          </w:p>
        </w:tc>
        <w:tc>
          <w:tcPr>
            <w:tcW w:w="3035" w:type="dxa"/>
            <w:shd w:val="clear" w:color="auto" w:fill="FFC000"/>
          </w:tcPr>
          <w:p w14:paraId="794C4528" w14:textId="7B07D01A" w:rsidR="009B3996" w:rsidRDefault="009B3996" w:rsidP="00495166">
            <w:pPr>
              <w:jc w:val="center"/>
            </w:pPr>
            <w:r>
              <w:t>Jelentős</w:t>
            </w:r>
          </w:p>
        </w:tc>
      </w:tr>
      <w:tr w:rsidR="009B3996" w14:paraId="19BC6684" w14:textId="77777777" w:rsidTr="00C63813">
        <w:tc>
          <w:tcPr>
            <w:tcW w:w="3061" w:type="dxa"/>
          </w:tcPr>
          <w:p w14:paraId="4A45C914" w14:textId="77777777" w:rsidR="009B3996" w:rsidRDefault="009B3996" w:rsidP="00495166">
            <w:pPr>
              <w:jc w:val="center"/>
            </w:pPr>
            <w:r>
              <w:t>Értékesítési csatorna</w:t>
            </w:r>
          </w:p>
        </w:tc>
        <w:tc>
          <w:tcPr>
            <w:tcW w:w="3035" w:type="dxa"/>
            <w:shd w:val="clear" w:color="auto" w:fill="FFC000"/>
          </w:tcPr>
          <w:p w14:paraId="723FEEE3" w14:textId="74F3262F" w:rsidR="009B3996" w:rsidRDefault="00BF2782" w:rsidP="00495166">
            <w:pPr>
              <w:jc w:val="center"/>
            </w:pPr>
            <w:r>
              <w:t>Jelentős</w:t>
            </w:r>
          </w:p>
        </w:tc>
      </w:tr>
    </w:tbl>
    <w:p w14:paraId="2D399142" w14:textId="0647E2EA" w:rsidR="009B3996" w:rsidRDefault="009B3996" w:rsidP="00B10603"/>
    <w:p w14:paraId="24995B47" w14:textId="13A33A3A" w:rsidR="009B3996" w:rsidRDefault="00A43C09" w:rsidP="00495166">
      <w:pPr>
        <w:rPr>
          <w:rFonts w:cs="Times New Roman"/>
        </w:rPr>
      </w:pPr>
      <w:r w:rsidRPr="00A43C09">
        <w:rPr>
          <w:rFonts w:cs="Times New Roman"/>
        </w:rPr>
        <w:t xml:space="preserve">A hitelintézeti szektorra jellemző az összetettség, külföldi, mind tagállami, mind harmadik ország állampolgárai is megjelennek a hitelintézeti szektort kitevő szolgáltatók ügyfélkörében, illetve </w:t>
      </w:r>
      <w:r w:rsidR="00BB6BD7">
        <w:rPr>
          <w:rFonts w:cs="Times New Roman"/>
        </w:rPr>
        <w:t>több</w:t>
      </w:r>
      <w:r w:rsidRPr="00A43C09">
        <w:rPr>
          <w:rFonts w:cs="Times New Roman"/>
        </w:rPr>
        <w:t xml:space="preserve"> hitelintézet rendelkezik külföldi érdekeltséggel. Mindezek alapján, a hitelintézeti szektorban rejlő, határokon átnyúló ML/</w:t>
      </w:r>
      <w:proofErr w:type="spellStart"/>
      <w:r w:rsidRPr="00A43C09">
        <w:rPr>
          <w:rFonts w:cs="Times New Roman"/>
        </w:rPr>
        <w:t>TF</w:t>
      </w:r>
      <w:proofErr w:type="spellEnd"/>
      <w:r w:rsidRPr="00A43C09">
        <w:rPr>
          <w:rFonts w:cs="Times New Roman"/>
        </w:rPr>
        <w:t xml:space="preserve"> kockázatok Jelenetősnek tekinthetőek.</w:t>
      </w:r>
    </w:p>
    <w:p w14:paraId="78215C0E" w14:textId="36C61C2F" w:rsidR="005D6E13" w:rsidRPr="00A07F4E" w:rsidRDefault="005D6E13" w:rsidP="00495166">
      <w:pPr>
        <w:spacing w:before="120" w:after="120"/>
      </w:pPr>
      <w:r w:rsidRPr="005D6E13">
        <w:lastRenderedPageBreak/>
        <w:t>A szolgáltatásokat tekintve a hitelintézetek vonzó pénzmosási célpontként szolgálnak, a portfólió komplexitása, a széleskörű termékválaszték, a magasabb pénzmosási kockázatot hordozó termékek megléte is jellemző.</w:t>
      </w:r>
    </w:p>
    <w:p w14:paraId="585CC44A" w14:textId="77777777" w:rsidR="000D0711" w:rsidRPr="00A07F4E" w:rsidRDefault="000D0711" w:rsidP="000550A7">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kiemelte, hogy az illetékes hatóságok az ügyfeleket, a termékeket és a szolgáltatásokat tekintették a magasabb szintű inherens kockázatot jelentő tényezőknek. A földrajzi kockázatokat azok a ható</w:t>
      </w:r>
      <w:r w:rsidR="00A67AF1" w:rsidRPr="00A07F4E">
        <w:t>s</w:t>
      </w:r>
      <w:r w:rsidRPr="00A07F4E">
        <w:t>ágok is kiemelték, amelyek olyan hitelintézeteket felügyelnek, amelyek</w:t>
      </w:r>
      <w:r w:rsidR="00EF5CFD" w:rsidRPr="00A07F4E">
        <w:t>nek</w:t>
      </w:r>
      <w:r w:rsidRPr="00A07F4E">
        <w:t xml:space="preserve"> nagy a nem rezidens ügyfeleik aránya, nagy volumenű tranzakciókat hajtanak végre magas kockázatú országokkal, vagy levelező banki tevékenységet folytatnak.</w:t>
      </w:r>
    </w:p>
    <w:p w14:paraId="0DAF1F55" w14:textId="6AFC176D" w:rsidR="00B625D2" w:rsidRDefault="00B625D2" w:rsidP="007377BD">
      <w:r w:rsidRPr="00B625D2">
        <w:t xml:space="preserve">A </w:t>
      </w:r>
      <w:r w:rsidR="00ED5436">
        <w:t>s</w:t>
      </w:r>
      <w:r>
        <w:t>zektor</w:t>
      </w:r>
      <w:r w:rsidR="004B3EF2">
        <w:t>ban jellemző, hogy a</w:t>
      </w:r>
      <w:r>
        <w:t xml:space="preserve"> </w:t>
      </w:r>
      <w:r w:rsidRPr="00B625D2">
        <w:t xml:space="preserve">szolgáltatók továbbra is szabályalapú megoldásokat vagy utasításokat várnak az </w:t>
      </w:r>
      <w:proofErr w:type="spellStart"/>
      <w:r w:rsidRPr="00B625D2">
        <w:t>AML</w:t>
      </w:r>
      <w:proofErr w:type="spellEnd"/>
      <w:r w:rsidRPr="00B625D2">
        <w:t>/</w:t>
      </w:r>
      <w:proofErr w:type="spellStart"/>
      <w:r w:rsidRPr="00B625D2">
        <w:t>CFT</w:t>
      </w:r>
      <w:proofErr w:type="spellEnd"/>
      <w:r w:rsidRPr="00B625D2">
        <w:t xml:space="preserve"> politikák végrehajtásához, a kockázatalapú megközelítésük hatékonysága még fejlesztésre szorul</w:t>
      </w:r>
      <w:r w:rsidR="00BB6BD7">
        <w:t>.</w:t>
      </w:r>
      <w:r w:rsidRPr="00B625D2">
        <w:t xml:space="preserve"> Az erőforrások elosztása </w:t>
      </w:r>
      <w:r w:rsidR="004B3EF2">
        <w:t>is sok esetben nem</w:t>
      </w:r>
      <w:r w:rsidRPr="00B625D2">
        <w:t xml:space="preserve"> hatékony, </w:t>
      </w:r>
      <w:r w:rsidR="004B3EF2">
        <w:t xml:space="preserve">mert </w:t>
      </w:r>
      <w:r w:rsidRPr="00B625D2">
        <w:t>a</w:t>
      </w:r>
      <w:r w:rsidR="00495166">
        <w:t xml:space="preserve"> szolgáltatók</w:t>
      </w:r>
      <w:r w:rsidRPr="00B625D2">
        <w:t xml:space="preserve"> költségek és kiadások csökkentésének módjait kívánják megtalálni, mintsem a kockázatalapú eljárásokra összpontosítani, ami jelentős kockázati tényező. Általánosságban továbbá elmondható, hogy a szektorhoz tartozó szolgáltatók fejlesztendő </w:t>
      </w:r>
      <w:proofErr w:type="spellStart"/>
      <w:r w:rsidRPr="00B625D2">
        <w:t>AML</w:t>
      </w:r>
      <w:proofErr w:type="spellEnd"/>
      <w:r w:rsidRPr="00B625D2">
        <w:t xml:space="preserve"> tranzakciómonitoring</w:t>
      </w:r>
      <w:r w:rsidR="00643FAA">
        <w:t xml:space="preserve"> rendszerekkel, valamint a</w:t>
      </w:r>
      <w:r w:rsidRPr="00B625D2">
        <w:t xml:space="preserve"> gyanús ügyletek bejelentésére vonatkozó politikákkal és eljárásokkal rendelkeznek. A szolgáltatók felügyelet felé történő adatszolgáltatási gyakorlata fejlesztendő, az ügyfél-átvilágítás során a pénzeszköz források beszerzésének gyakorlata elmarad az elvárásoktól, valamint az összes releváns </w:t>
      </w:r>
      <w:proofErr w:type="spellStart"/>
      <w:r w:rsidRPr="00B625D2">
        <w:t>AML</w:t>
      </w:r>
      <w:proofErr w:type="spellEnd"/>
      <w:r w:rsidRPr="00B625D2">
        <w:t xml:space="preserve"> tipológia, „</w:t>
      </w:r>
      <w:proofErr w:type="spellStart"/>
      <w:r w:rsidRPr="00B625D2">
        <w:t>redflag</w:t>
      </w:r>
      <w:proofErr w:type="spellEnd"/>
      <w:r w:rsidRPr="00B625D2">
        <w:t xml:space="preserve">-ek” </w:t>
      </w:r>
      <w:r>
        <w:t>számos esetben</w:t>
      </w:r>
      <w:r w:rsidRPr="00B625D2">
        <w:t xml:space="preserve"> nem találhatóak meg a rendszerekben. További kockázat, hogy a vizsgálatoknál sokszor felmerül a képzések, a személyzet megfelelő ismereteinek és tudatosságának hiánya, amely jelentősen befolyásolhatja a hatékonyságot.</w:t>
      </w:r>
    </w:p>
    <w:p w14:paraId="0FB21ED5" w14:textId="77777777" w:rsidR="00995542" w:rsidRDefault="00995542" w:rsidP="00995542">
      <w:r>
        <w:t>További jellemző hiányosság az MNB által előírt kötelező szűrések elvégzésének hiánya, valamint a kockázatalapúság hiánya a szűrési gyakorlatban, melynek oka, hogy a hitelintézetek nem megfelelően ismerik fel a rájuk jellemző kockázatokat, vagy az általuk detektált kockázatok kiszűrésére nem alakítanak ki megfelelő szűrőrendszert.</w:t>
      </w:r>
    </w:p>
    <w:p w14:paraId="2F4FAE91" w14:textId="3401C99B" w:rsidR="000F4811" w:rsidRPr="00A07F4E" w:rsidRDefault="000F4811" w:rsidP="007377BD">
      <w:r w:rsidRPr="000F4811">
        <w:t>A hitelintézetek esetében kiemelendő a levelező banki kapcsolatok által jelentett kockázat</w:t>
      </w:r>
      <w:r w:rsidRPr="00506BD2">
        <w:t>. A 2020</w:t>
      </w:r>
      <w:r w:rsidR="00D42E00">
        <w:t>.</w:t>
      </w:r>
      <w:r w:rsidRPr="00506BD2">
        <w:t xml:space="preserve"> évi adatszolgáltatás alapján a hitelintézetek 3 588 levelező banki kapcsolattal rendelkeztek</w:t>
      </w:r>
      <w:r w:rsidR="00343E1A" w:rsidRPr="00495166">
        <w:t>.</w:t>
      </w:r>
      <w:r w:rsidRPr="00506BD2">
        <w:t xml:space="preserve"> </w:t>
      </w:r>
      <w:r w:rsidRPr="000F4811">
        <w:t xml:space="preserve">A levelezőbanki kapcsolatok során kiemelten fontos a </w:t>
      </w:r>
      <w:r w:rsidR="00D42E00">
        <w:t>levelezett bankok</w:t>
      </w:r>
      <w:r w:rsidR="00D42E00" w:rsidRPr="000F4811">
        <w:t xml:space="preserve"> </w:t>
      </w:r>
      <w:r w:rsidRPr="000F4811">
        <w:t>által jelentett kockázatok beazonosítása</w:t>
      </w:r>
      <w:r w:rsidR="00D42E00">
        <w:t>,</w:t>
      </w:r>
      <w:r w:rsidRPr="000F4811">
        <w:t xml:space="preserve"> kellően részletes </w:t>
      </w:r>
      <w:proofErr w:type="spellStart"/>
      <w:r w:rsidRPr="000F4811">
        <w:t>KYC</w:t>
      </w:r>
      <w:proofErr w:type="spellEnd"/>
      <w:r w:rsidRPr="000F4811">
        <w:t xml:space="preserve"> folyamat kialakítása, figyelemmel arra, hogy az ügyfelek egyes tranzakciói a levelezőbankok közreműködésével kerülnek továbbításra, így az ügyfél nem csak a számlavezető, de a levelezőbank részére is kockázatot jelentenek. </w:t>
      </w:r>
    </w:p>
    <w:p w14:paraId="19BCC21D" w14:textId="50337731" w:rsidR="008A12EB" w:rsidRPr="009F3A30" w:rsidRDefault="008A12EB" w:rsidP="00DA3FC1">
      <w:r w:rsidRPr="009F3A30">
        <w:t>További kapcsolódó kockázat a magyar hitelintézetek által vezetett tranzitszámlákkal kapcsolatosan merül</w:t>
      </w:r>
      <w:r w:rsidR="005859EC" w:rsidRPr="009F3A30">
        <w:t>t</w:t>
      </w:r>
      <w:r w:rsidRPr="009F3A30">
        <w:t xml:space="preserve"> fel. Ez a jelenség jól látszik a szolgáltatók bejelentéseiből és a nemzetközi megkeresésekből.  A tranzit fizetési számlák esetén a számlára a külföldi forrásszámláról érkező jóváírások és a külföldi célszámlára irányuló terhelések összege közel azonos, és az átutalások mögött nem azonosítható racionális gazdasági indok. Az átutalások jellemzően külföldi székhelyű hitelintézetek által vezetett fizetési számlákról érkeznek, illetve általában a küldő országtól eltérő országban (elsősorban pénzügyi központokban) bejegyzett, de külföldi székhelyű hitelintézethez utalják tovább az összegeket.</w:t>
      </w:r>
    </w:p>
    <w:p w14:paraId="796F9FEF" w14:textId="226C96F5" w:rsidR="00810689" w:rsidRDefault="00810689" w:rsidP="00DA3FC1">
      <w:r w:rsidRPr="009F3A30">
        <w:t>További kockázatot növelő tényező</w:t>
      </w:r>
      <w:r w:rsidR="005859EC" w:rsidRPr="009F3A30">
        <w:t>, kiemelt kockázat</w:t>
      </w:r>
      <w:r w:rsidRPr="009F3A30">
        <w:t xml:space="preserve"> a bűncselekményekből származó jövedelmek áramlása a bankszektorba, és még mindig gyakori jelenség, hogy kisebb összegű juttatásokért cserébe strómanok vesznek részt bankszámlanyitásokban.</w:t>
      </w:r>
      <w:r w:rsidRPr="00A07F4E">
        <w:t xml:space="preserve">  </w:t>
      </w:r>
    </w:p>
    <w:p w14:paraId="5A167AAC" w14:textId="28D54C35" w:rsidR="007C7586" w:rsidRDefault="00E43740" w:rsidP="00495166">
      <w:pPr>
        <w:shd w:val="clear" w:color="auto" w:fill="FFFFFF"/>
        <w:spacing w:after="100" w:afterAutospacing="1"/>
      </w:pPr>
      <w:r>
        <w:t xml:space="preserve">Jelenleg kockázat </w:t>
      </w:r>
      <w:r w:rsidRPr="00F16B9C">
        <w:t xml:space="preserve">a 2. </w:t>
      </w:r>
      <w:r w:rsidR="00495166">
        <w:t>fejezetben</w:t>
      </w:r>
      <w:r w:rsidR="00495166" w:rsidRPr="00F16B9C">
        <w:t xml:space="preserve"> </w:t>
      </w:r>
      <w:r w:rsidRPr="00F16B9C">
        <w:t xml:space="preserve">kifejtett </w:t>
      </w:r>
      <w:r w:rsidR="007C7586" w:rsidRPr="00F16B9C">
        <w:t>orosz-ukrán konfliktus</w:t>
      </w:r>
      <w:r>
        <w:t>, amelynek</w:t>
      </w:r>
      <w:r w:rsidR="007C7586" w:rsidRPr="00E526A6">
        <w:t xml:space="preserve"> </w:t>
      </w:r>
      <w:r w:rsidR="007C7586">
        <w:t xml:space="preserve">következtében a szektorhoz tartozó </w:t>
      </w:r>
      <w:r w:rsidR="00102525">
        <w:t xml:space="preserve">egyik </w:t>
      </w:r>
      <w:r w:rsidR="007C7586">
        <w:t xml:space="preserve">szolgáltató, </w:t>
      </w:r>
      <w:r w:rsidR="00102525">
        <w:t xml:space="preserve">a </w:t>
      </w:r>
      <w:proofErr w:type="spellStart"/>
      <w:r w:rsidR="007C7586" w:rsidRPr="00E526A6">
        <w:t>Sberbank</w:t>
      </w:r>
      <w:proofErr w:type="spellEnd"/>
      <w:r w:rsidR="007C7586">
        <w:t xml:space="preserve"> Magyarország Zrt. </w:t>
      </w:r>
      <w:r w:rsidR="007C7586" w:rsidRPr="00E526A6">
        <w:t>az osztrák anya</w:t>
      </w:r>
      <w:r w:rsidR="007C7586">
        <w:t xml:space="preserve">vállalattól és </w:t>
      </w:r>
      <w:r w:rsidR="007C7586" w:rsidRPr="00E526A6">
        <w:t>a</w:t>
      </w:r>
      <w:r w:rsidR="00F71E49">
        <w:t xml:space="preserve"> –</w:t>
      </w:r>
      <w:r>
        <w:t xml:space="preserve"> </w:t>
      </w:r>
      <w:r w:rsidR="007C7586" w:rsidRPr="00E526A6">
        <w:t>nemzetközi szankciók által sújtott</w:t>
      </w:r>
      <w:r w:rsidR="00F71E49">
        <w:t xml:space="preserve"> – </w:t>
      </w:r>
      <w:r w:rsidR="007C7586" w:rsidRPr="00E526A6">
        <w:t xml:space="preserve">orosz </w:t>
      </w:r>
      <w:proofErr w:type="spellStart"/>
      <w:r w:rsidR="007C7586" w:rsidRPr="00E526A6">
        <w:t>Sberbanktól</w:t>
      </w:r>
      <w:proofErr w:type="spellEnd"/>
      <w:r w:rsidR="007C7586" w:rsidRPr="00E526A6">
        <w:t xml:space="preserve"> érkező negatív hatások miatt került súlyos fizetőképességi (likviditási) és tőkehelyzetbe</w:t>
      </w:r>
      <w:r w:rsidR="007C7586">
        <w:t xml:space="preserve">. </w:t>
      </w:r>
      <w:r w:rsidR="007C7586" w:rsidRPr="007C7586">
        <w:t xml:space="preserve">Az európai szanálási hatóság végelszámolást indított a magyar </w:t>
      </w:r>
      <w:proofErr w:type="spellStart"/>
      <w:r w:rsidR="007C7586" w:rsidRPr="007C7586">
        <w:t>Sberbank</w:t>
      </w:r>
      <w:proofErr w:type="spellEnd"/>
      <w:r w:rsidR="007C7586" w:rsidRPr="007C7586">
        <w:t xml:space="preserve"> anyavállalatánál, az osztrák </w:t>
      </w:r>
      <w:proofErr w:type="spellStart"/>
      <w:r w:rsidR="007C7586" w:rsidRPr="007C7586">
        <w:t>Sberbank</w:t>
      </w:r>
      <w:proofErr w:type="spellEnd"/>
      <w:r w:rsidR="007C7586" w:rsidRPr="007C7586">
        <w:t xml:space="preserve"> Europe </w:t>
      </w:r>
      <w:proofErr w:type="spellStart"/>
      <w:r w:rsidR="007C7586" w:rsidRPr="007C7586">
        <w:t>AG-nál</w:t>
      </w:r>
      <w:proofErr w:type="spellEnd"/>
      <w:r w:rsidR="007C7586">
        <w:t>, majd a</w:t>
      </w:r>
      <w:r w:rsidR="007C7586" w:rsidRPr="007C7586">
        <w:t xml:space="preserve"> </w:t>
      </w:r>
      <w:proofErr w:type="spellStart"/>
      <w:r w:rsidR="007C7586" w:rsidRPr="007C7586">
        <w:t>Sberbank</w:t>
      </w:r>
      <w:proofErr w:type="spellEnd"/>
      <w:r w:rsidR="007C7586" w:rsidRPr="007C7586">
        <w:t xml:space="preserve"> Magyarország Zrt. súlyos likviditási és tőkehelyzete miatt az MNB </w:t>
      </w:r>
      <w:r w:rsidR="00557C8E">
        <w:t xml:space="preserve">2022. március 2-i </w:t>
      </w:r>
      <w:proofErr w:type="gramStart"/>
      <w:r w:rsidR="00557C8E">
        <w:t xml:space="preserve">hatállyal </w:t>
      </w:r>
      <w:r w:rsidR="007C7586" w:rsidRPr="007C7586">
        <w:t xml:space="preserve"> visszavonta</w:t>
      </w:r>
      <w:proofErr w:type="gramEnd"/>
      <w:r w:rsidR="007C7586" w:rsidRPr="007C7586">
        <w:t xml:space="preserve"> a hazai hitelintézet tevékenységi engedélyét és elrendelte annak végelszámolását.</w:t>
      </w:r>
      <w:r w:rsidR="007C7586">
        <w:t xml:space="preserve"> </w:t>
      </w:r>
      <w:r w:rsidR="0003068F">
        <w:t>Ennek hatására a szolgáltatóknak olyan új ügyfél kapcsolat létesítéseket kell elvégezni</w:t>
      </w:r>
      <w:r w:rsidR="00D15963">
        <w:t>ük</w:t>
      </w:r>
      <w:r w:rsidR="0003068F">
        <w:t xml:space="preserve"> a korábbi </w:t>
      </w:r>
      <w:proofErr w:type="spellStart"/>
      <w:r w:rsidR="0003068F">
        <w:t>Sberbank</w:t>
      </w:r>
      <w:proofErr w:type="spellEnd"/>
      <w:r w:rsidR="0003068F">
        <w:t xml:space="preserve"> ügyfelek vonatkozásában, ahol nem rendelkeznek ügyfél profillal </w:t>
      </w:r>
      <w:r w:rsidR="00A55FF6">
        <w:t xml:space="preserve">és a partner korábbi kockázati értékítéletét sem ismerhetik meg. </w:t>
      </w:r>
    </w:p>
    <w:p w14:paraId="19D96466" w14:textId="77777777" w:rsidR="00E57F87" w:rsidRDefault="00E57F87" w:rsidP="00495166">
      <w:pPr>
        <w:shd w:val="clear" w:color="auto" w:fill="FFFFFF"/>
        <w:spacing w:after="100" w:afterAutospacing="1"/>
      </w:pPr>
    </w:p>
    <w:p w14:paraId="05E1F417" w14:textId="70E9A463" w:rsidR="0060456E" w:rsidRPr="009D2B35" w:rsidRDefault="00177356" w:rsidP="0060456E">
      <w:pPr>
        <w:shd w:val="clear" w:color="auto" w:fill="FFFFFF"/>
        <w:spacing w:after="100" w:afterAutospacing="1"/>
        <w:rPr>
          <w:color w:val="1A2521"/>
        </w:rPr>
      </w:pPr>
      <w:r w:rsidRPr="00177356">
        <w:lastRenderedPageBreak/>
        <w:t xml:space="preserve">A </w:t>
      </w:r>
      <w:proofErr w:type="spellStart"/>
      <w:r w:rsidRPr="00177356">
        <w:t>Sberbank</w:t>
      </w:r>
      <w:proofErr w:type="spellEnd"/>
      <w:r w:rsidRPr="00177356">
        <w:t xml:space="preserve"> Magyarország Zrt. végelszámolására további hatást gyakorol a Tanács (EU) 2022/1273 rendelete (2022. július 21.) az Ukrajna területi integritását, szuverenitását és függetlenségét aláásó vagy fenyegető intézkedések miatti korlátozó intézkedésekről szóló 269/2014/EU rendelet módosításáról (</w:t>
      </w:r>
      <w:r w:rsidRPr="0044641A">
        <w:rPr>
          <w:b/>
          <w:bCs/>
        </w:rPr>
        <w:t>269/2014/EU rendelet</w:t>
      </w:r>
      <w:r w:rsidRPr="00177356">
        <w:t xml:space="preserve">). A 269/2014/EU </w:t>
      </w:r>
      <w:proofErr w:type="spellStart"/>
      <w:r w:rsidRPr="00177356">
        <w:t>ren</w:t>
      </w:r>
      <w:proofErr w:type="spellEnd"/>
      <w:r w:rsidRPr="00177356">
        <w:t xml:space="preserve">-delet I. Mellékletének a „II. Szervezetek” részébe 2022. július 21-ei hatállyal felkerült az orosz </w:t>
      </w:r>
      <w:proofErr w:type="spellStart"/>
      <w:r w:rsidRPr="00177356">
        <w:t>Sberbank</w:t>
      </w:r>
      <w:proofErr w:type="spellEnd"/>
      <w:r w:rsidRPr="00177356">
        <w:t xml:space="preserve">, mint célzott szankcióval érintett szervezet. Az orosz </w:t>
      </w:r>
      <w:proofErr w:type="spellStart"/>
      <w:r w:rsidRPr="00177356">
        <w:t>Sberbank</w:t>
      </w:r>
      <w:proofErr w:type="spellEnd"/>
      <w:r w:rsidRPr="00177356">
        <w:t xml:space="preserve"> szankciós listára történő felkerülése alapján a 269/2014/EU rendelet – 2. cikkére tekintettel – szankcióval érintettek továbbá az orosz </w:t>
      </w:r>
      <w:proofErr w:type="spellStart"/>
      <w:r w:rsidRPr="00177356">
        <w:t>Sberbankkal</w:t>
      </w:r>
      <w:proofErr w:type="spellEnd"/>
      <w:r w:rsidRPr="00177356">
        <w:t xml:space="preserve"> összefüggésbe hozható természetes vagy jogi személyek, szervezetek, így a </w:t>
      </w:r>
      <w:proofErr w:type="spellStart"/>
      <w:r w:rsidRPr="00177356">
        <w:t>Sberbank</w:t>
      </w:r>
      <w:proofErr w:type="spellEnd"/>
      <w:r w:rsidRPr="00177356">
        <w:t xml:space="preserve"> Magyarország Zrt. is, következésképp a hozzájuk tartozó, az ezek birtokában lévő vagy ellenőrzése alatt álló minden pénzeszközt és gazdasági erőforrást is be kell fagyasztani. Azonban a 269/2014/EU rendelet 6b. cikk (2a) bekezdése alapján a tagállam illetékes hatóságai engedélyezhetik „</w:t>
      </w:r>
      <w:r w:rsidRPr="0044641A">
        <w:rPr>
          <w:i/>
          <w:iCs/>
        </w:rPr>
        <w:t xml:space="preserve">egyes </w:t>
      </w:r>
      <w:proofErr w:type="spellStart"/>
      <w:r w:rsidRPr="0044641A">
        <w:rPr>
          <w:i/>
          <w:iCs/>
        </w:rPr>
        <w:t>befa-gyasztott</w:t>
      </w:r>
      <w:proofErr w:type="spellEnd"/>
      <w:r w:rsidRPr="0044641A">
        <w:rPr>
          <w:i/>
          <w:iCs/>
        </w:rPr>
        <w:t xml:space="preserve"> pénzeszközök vagy gazdasági erőforrások felszabadítását, vagy egyes pénzeszközöknek vagy gazdasági erőforrásoknak az említett szervezet számára történő rendelkezésre bocsátását, az illetékes hatóságok által megfelelő-</w:t>
      </w:r>
      <w:proofErr w:type="spellStart"/>
      <w:r w:rsidRPr="0044641A">
        <w:rPr>
          <w:i/>
          <w:iCs/>
        </w:rPr>
        <w:t>nek</w:t>
      </w:r>
      <w:proofErr w:type="spellEnd"/>
      <w:r w:rsidRPr="0044641A">
        <w:rPr>
          <w:i/>
          <w:iCs/>
        </w:rPr>
        <w:t xml:space="preserve"> ítélt feltételek mellett, és annak megállapítását követően, hogy az ilyen pénzeszközök vagy gazdasági erőforrások szükségesek a 2022. július 21. előtt e szervezettel végrehajtott műveleteknek, megkötött szerződéseknek vagy egyéb megállapodásoknak - többek között a levelezőbanki kapcsolatoknak -2023. augusztus 22-ig történő megszüntetésé-</w:t>
      </w:r>
      <w:proofErr w:type="spellStart"/>
      <w:r w:rsidRPr="0044641A">
        <w:rPr>
          <w:i/>
          <w:iCs/>
        </w:rPr>
        <w:t>hez</w:t>
      </w:r>
      <w:proofErr w:type="spellEnd"/>
      <w:r w:rsidRPr="0044641A">
        <w:rPr>
          <w:i/>
          <w:iCs/>
        </w:rPr>
        <w:t>.</w:t>
      </w:r>
      <w:r w:rsidRPr="00177356">
        <w:t>”. Magyarországon engedélyt a (Nemzeti Adó- és Vámhivatal Pénzmosás Elleni Információs Irodája (</w:t>
      </w:r>
      <w:proofErr w:type="spellStart"/>
      <w:r w:rsidRPr="0044641A">
        <w:rPr>
          <w:b/>
          <w:bCs/>
        </w:rPr>
        <w:t>NAV</w:t>
      </w:r>
      <w:proofErr w:type="spellEnd"/>
      <w:r w:rsidRPr="0044641A">
        <w:rPr>
          <w:b/>
          <w:bCs/>
        </w:rPr>
        <w:t xml:space="preserve"> </w:t>
      </w:r>
      <w:proofErr w:type="spellStart"/>
      <w:r w:rsidRPr="0044641A">
        <w:rPr>
          <w:b/>
          <w:bCs/>
        </w:rPr>
        <w:t>PEI</w:t>
      </w:r>
      <w:proofErr w:type="spellEnd"/>
      <w:r w:rsidRPr="00177356">
        <w:t xml:space="preserve">)) ad-hat.  </w:t>
      </w:r>
    </w:p>
    <w:p w14:paraId="139C1B0D" w14:textId="77777777" w:rsidR="002C3A0F" w:rsidRPr="00A07F4E" w:rsidRDefault="002C3A0F" w:rsidP="00A07F4E">
      <w:pPr>
        <w:pStyle w:val="Listaszerbekezds"/>
        <w:numPr>
          <w:ilvl w:val="1"/>
          <w:numId w:val="13"/>
        </w:numPr>
        <w:ind w:left="851" w:hanging="284"/>
      </w:pPr>
      <w:r w:rsidRPr="00A07F4E">
        <w:t>A hitelintézeti szektorban rejlő, határokon átnyúló ML/</w:t>
      </w:r>
      <w:proofErr w:type="spellStart"/>
      <w:r w:rsidRPr="00A07F4E">
        <w:t>TF</w:t>
      </w:r>
      <w:proofErr w:type="spellEnd"/>
      <w:r w:rsidRPr="00A07F4E">
        <w:t xml:space="preserve"> kockázatok</w:t>
      </w:r>
    </w:p>
    <w:p w14:paraId="1ABD1A67" w14:textId="2DB33C97" w:rsidR="007377BD" w:rsidRPr="00A07F4E" w:rsidRDefault="007377BD" w:rsidP="007377BD">
      <w:r w:rsidRPr="00A07F4E">
        <w:t xml:space="preserve">A hitelintézeti szektorra jellemző az összetettség, külföldi, mind tagállami, mind harmadik ország állampolgárai is megjelennek a hitelintézeti szektort kitevő </w:t>
      </w:r>
      <w:r w:rsidR="00A37D9D">
        <w:t>szolgáltatók</w:t>
      </w:r>
      <w:r w:rsidRPr="00A07F4E">
        <w:t xml:space="preserve"> ügyfélkörében, illetve </w:t>
      </w:r>
      <w:r w:rsidR="00E43740">
        <w:t>több</w:t>
      </w:r>
      <w:r w:rsidR="00E43740" w:rsidRPr="00A07F4E">
        <w:t xml:space="preserve"> </w:t>
      </w:r>
      <w:r w:rsidRPr="00A07F4E">
        <w:t xml:space="preserve">hitelintézet rendelkezik külföldi érdekeltséggel. </w:t>
      </w:r>
      <w:r w:rsidR="00500176">
        <w:t>A határokon átnyúló M</w:t>
      </w:r>
      <w:r w:rsidR="000B5E06">
        <w:t>L</w:t>
      </w:r>
      <w:r w:rsidR="00500176">
        <w:t>/</w:t>
      </w:r>
      <w:proofErr w:type="spellStart"/>
      <w:r w:rsidR="00500176">
        <w:t>TF</w:t>
      </w:r>
      <w:proofErr w:type="spellEnd"/>
      <w:r w:rsidR="00500176">
        <w:t xml:space="preserve"> kockázatot </w:t>
      </w:r>
      <w:r w:rsidR="0087743A">
        <w:t xml:space="preserve">jelenleg nagyban </w:t>
      </w:r>
      <w:r w:rsidR="000B5E06">
        <w:t>befolyásolja</w:t>
      </w:r>
      <w:r w:rsidR="00500176">
        <w:t xml:space="preserve"> az orosz-ukrán konfliktus, amely következtében </w:t>
      </w:r>
      <w:r w:rsidR="000B5E06">
        <w:t xml:space="preserve">Magyarországra érkező </w:t>
      </w:r>
      <w:r w:rsidR="00500176">
        <w:t>menekültek</w:t>
      </w:r>
      <w:r w:rsidR="000B5E06">
        <w:t xml:space="preserve"> száma nő. További kockázati tényezőként értékelendő az orosz tőke bankrendszerből történő kiáramlása. </w:t>
      </w:r>
      <w:r w:rsidRPr="00A07F4E">
        <w:t>Mindeze</w:t>
      </w:r>
      <w:r w:rsidR="0087743A">
        <w:t>n tényezőkre tekintettel</w:t>
      </w:r>
      <w:r w:rsidRPr="00A07F4E">
        <w:t>, a hitelintézeti szektorban rejlő, határokon átnyúló ML/</w:t>
      </w:r>
      <w:proofErr w:type="spellStart"/>
      <w:r w:rsidRPr="00A07F4E">
        <w:t>TF</w:t>
      </w:r>
      <w:proofErr w:type="spellEnd"/>
      <w:r w:rsidRPr="00A07F4E">
        <w:t xml:space="preserve"> kockázatok Jelenető</w:t>
      </w:r>
      <w:r w:rsidR="0087743A">
        <w:t>snek értékelendőek</w:t>
      </w:r>
      <w:r w:rsidRPr="00A07F4E">
        <w:t xml:space="preserve">. </w:t>
      </w:r>
    </w:p>
    <w:p w14:paraId="63AA97D0" w14:textId="7789067E" w:rsidR="00077C4E" w:rsidRPr="00A07F4E" w:rsidRDefault="002E3995" w:rsidP="00597253">
      <w:pPr>
        <w:rPr>
          <w:b/>
          <w:bCs/>
        </w:rPr>
      </w:pPr>
      <w:r w:rsidRPr="00A07F4E">
        <w:rPr>
          <w:b/>
          <w:bCs/>
        </w:rPr>
        <w:t>A</w:t>
      </w:r>
      <w:r w:rsidR="00E41D1F">
        <w:rPr>
          <w:b/>
          <w:bCs/>
        </w:rPr>
        <w:t xml:space="preserve">z MNB </w:t>
      </w:r>
      <w:r w:rsidR="00597253" w:rsidRPr="00A07F4E">
        <w:rPr>
          <w:b/>
          <w:bCs/>
        </w:rPr>
        <w:t xml:space="preserve">a fenti valamennyi kockázatot mérlegelve </w:t>
      </w:r>
      <w:r w:rsidRPr="00A07F4E">
        <w:rPr>
          <w:b/>
          <w:bCs/>
        </w:rPr>
        <w:t xml:space="preserve">a hitelintézeti szektor </w:t>
      </w:r>
      <w:r w:rsidR="00597253" w:rsidRPr="00A07F4E">
        <w:rPr>
          <w:b/>
          <w:bCs/>
        </w:rPr>
        <w:t>inherens kockázatát</w:t>
      </w:r>
      <w:r w:rsidR="006813E2" w:rsidRPr="00A07F4E">
        <w:rPr>
          <w:b/>
          <w:bCs/>
        </w:rPr>
        <w:t xml:space="preserve"> Nagyon j</w:t>
      </w:r>
      <w:r w:rsidRPr="00A07F4E">
        <w:rPr>
          <w:b/>
          <w:bCs/>
        </w:rPr>
        <w:t>elentős</w:t>
      </w:r>
      <w:r w:rsidR="00597253" w:rsidRPr="00A07F4E">
        <w:rPr>
          <w:b/>
          <w:bCs/>
        </w:rPr>
        <w:t>nek értékeli</w:t>
      </w:r>
      <w:r w:rsidR="006813E2" w:rsidRPr="00A07F4E">
        <w:rPr>
          <w:b/>
          <w:bCs/>
        </w:rPr>
        <w:t>.</w:t>
      </w:r>
    </w:p>
    <w:tbl>
      <w:tblPr>
        <w:tblW w:w="3020" w:type="dxa"/>
        <w:jc w:val="center"/>
        <w:tblCellMar>
          <w:left w:w="70" w:type="dxa"/>
          <w:right w:w="70" w:type="dxa"/>
        </w:tblCellMar>
        <w:tblLook w:val="04A0" w:firstRow="1" w:lastRow="0" w:firstColumn="1" w:lastColumn="0" w:noHBand="0" w:noVBand="1"/>
      </w:tblPr>
      <w:tblGrid>
        <w:gridCol w:w="1580"/>
        <w:gridCol w:w="1440"/>
      </w:tblGrid>
      <w:tr w:rsidR="0015483C" w:rsidRPr="00A07F4E" w14:paraId="023443FC" w14:textId="77777777" w:rsidTr="009F3A30">
        <w:trPr>
          <w:trHeight w:val="300"/>
          <w:jc w:val="center"/>
        </w:trPr>
        <w:tc>
          <w:tcPr>
            <w:tcW w:w="1580" w:type="dxa"/>
            <w:tcBorders>
              <w:top w:val="nil"/>
              <w:left w:val="nil"/>
              <w:bottom w:val="nil"/>
              <w:right w:val="nil"/>
            </w:tcBorders>
            <w:shd w:val="clear" w:color="auto" w:fill="auto"/>
            <w:noWrap/>
            <w:vAlign w:val="center"/>
            <w:hideMark/>
          </w:tcPr>
          <w:p w14:paraId="228F01D2" w14:textId="77777777" w:rsidR="0015483C" w:rsidRPr="00A07F4E" w:rsidRDefault="0015483C" w:rsidP="009F3A30">
            <w:pPr>
              <w:spacing w:after="0" w:line="240" w:lineRule="auto"/>
              <w:jc w:val="left"/>
              <w:rPr>
                <w:rFonts w:eastAsia="Times New Roman" w:cs="Times New Roman"/>
                <w:b/>
                <w:bCs/>
                <w:color w:val="000000"/>
                <w:sz w:val="18"/>
                <w:szCs w:val="18"/>
              </w:rPr>
            </w:pPr>
            <w:r w:rsidRPr="00A07F4E">
              <w:rPr>
                <w:rFonts w:eastAsia="Times New Roman" w:cs="Times New Roman"/>
                <w:b/>
                <w:bCs/>
                <w:color w:val="000000"/>
                <w:sz w:val="18"/>
                <w:szCs w:val="18"/>
              </w:rPr>
              <w:t>Inherens kockázat:</w:t>
            </w:r>
          </w:p>
        </w:tc>
        <w:tc>
          <w:tcPr>
            <w:tcW w:w="1440" w:type="dxa"/>
            <w:tcBorders>
              <w:top w:val="single" w:sz="4" w:space="0" w:color="auto"/>
              <w:left w:val="single" w:sz="4" w:space="0" w:color="auto"/>
              <w:bottom w:val="single" w:sz="4" w:space="0" w:color="auto"/>
              <w:right w:val="single" w:sz="4" w:space="0" w:color="auto"/>
            </w:tcBorders>
            <w:shd w:val="clear" w:color="000000" w:fill="FF603B"/>
            <w:noWrap/>
            <w:vAlign w:val="center"/>
            <w:hideMark/>
          </w:tcPr>
          <w:p w14:paraId="6345A769" w14:textId="77777777" w:rsidR="0015483C" w:rsidRPr="00A07F4E" w:rsidRDefault="0015483C" w:rsidP="0015483C">
            <w:pPr>
              <w:spacing w:after="0" w:line="240" w:lineRule="auto"/>
              <w:jc w:val="center"/>
              <w:rPr>
                <w:rFonts w:eastAsia="Times New Roman" w:cs="Times New Roman"/>
                <w:sz w:val="18"/>
                <w:szCs w:val="18"/>
              </w:rPr>
            </w:pPr>
            <w:r w:rsidRPr="00A07F4E">
              <w:rPr>
                <w:rFonts w:eastAsia="Times New Roman" w:cs="Times New Roman"/>
                <w:sz w:val="18"/>
                <w:szCs w:val="18"/>
              </w:rPr>
              <w:t>Nagyon jelentős</w:t>
            </w:r>
          </w:p>
        </w:tc>
      </w:tr>
    </w:tbl>
    <w:p w14:paraId="2A20D00C" w14:textId="03F89A5B" w:rsidR="0015483C" w:rsidRDefault="0015483C" w:rsidP="00597253">
      <w:pPr>
        <w:rPr>
          <w:b/>
          <w:bCs/>
        </w:rPr>
      </w:pPr>
    </w:p>
    <w:p w14:paraId="15ECB69B" w14:textId="77777777" w:rsidR="008347D1" w:rsidRPr="00A07F4E" w:rsidRDefault="008347D1" w:rsidP="00A07F4E">
      <w:pPr>
        <w:pStyle w:val="Cmsor3"/>
        <w:numPr>
          <w:ilvl w:val="0"/>
          <w:numId w:val="69"/>
        </w:numPr>
        <w:ind w:left="567" w:hanging="283"/>
      </w:pPr>
      <w:bookmarkStart w:id="6" w:name="_Toc106108233"/>
      <w:bookmarkStart w:id="7" w:name="_Toc106108346"/>
      <w:bookmarkStart w:id="8" w:name="_Toc106120827"/>
      <w:bookmarkStart w:id="9" w:name="_Toc106183434"/>
      <w:bookmarkStart w:id="10" w:name="_Toc106192384"/>
      <w:bookmarkStart w:id="11" w:name="_Toc106197980"/>
      <w:bookmarkStart w:id="12" w:name="_Toc106198626"/>
      <w:bookmarkStart w:id="13" w:name="_Toc106201820"/>
      <w:bookmarkStart w:id="14" w:name="_Toc106869529"/>
      <w:bookmarkStart w:id="15" w:name="_Toc107236394"/>
      <w:bookmarkStart w:id="16" w:name="_Toc107237302"/>
      <w:bookmarkStart w:id="17" w:name="_Toc107237627"/>
      <w:bookmarkStart w:id="18" w:name="_Toc106108234"/>
      <w:bookmarkStart w:id="19" w:name="_Toc106108347"/>
      <w:bookmarkStart w:id="20" w:name="_Toc106120828"/>
      <w:bookmarkStart w:id="21" w:name="_Toc106183435"/>
      <w:bookmarkStart w:id="22" w:name="_Toc106192385"/>
      <w:bookmarkStart w:id="23" w:name="_Toc106197981"/>
      <w:bookmarkStart w:id="24" w:name="_Toc106198627"/>
      <w:bookmarkStart w:id="25" w:name="_Toc106201821"/>
      <w:bookmarkStart w:id="26" w:name="_Toc106869530"/>
      <w:bookmarkStart w:id="27" w:name="_Toc107236395"/>
      <w:bookmarkStart w:id="28" w:name="_Toc107237303"/>
      <w:bookmarkStart w:id="29" w:name="_Toc107237628"/>
      <w:bookmarkStart w:id="30" w:name="_Toc10990600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A07F4E">
        <w:t>Az ellenőrzések minősége</w:t>
      </w:r>
      <w:bookmarkEnd w:id="30"/>
    </w:p>
    <w:p w14:paraId="7D289EFD" w14:textId="3BC12AE4" w:rsidR="007C23C1" w:rsidRPr="00A07F4E" w:rsidRDefault="00525D78" w:rsidP="00F40725">
      <w:r w:rsidRPr="00A07F4E">
        <w:t>A</w:t>
      </w:r>
      <w:r w:rsidR="00CD1340">
        <w:t xml:space="preserve">z MNB </w:t>
      </w:r>
      <w:r w:rsidRPr="00A07F4E">
        <w:t>a hitelintézeti szektor</w:t>
      </w:r>
      <w:r w:rsidR="00FD3B7C" w:rsidRPr="00A07F4E">
        <w:t xml:space="preserve"> általi ellenőrzések </w:t>
      </w:r>
      <w:r w:rsidR="008008DF" w:rsidRPr="00A07F4E">
        <w:t xml:space="preserve">megfelelőségének és minőségének </w:t>
      </w:r>
      <w:r w:rsidRPr="00A07F4E">
        <w:t xml:space="preserve">értékelésénél </w:t>
      </w:r>
      <w:r w:rsidR="00A37D9D">
        <w:t>a szolgáltatók</w:t>
      </w:r>
      <w:r w:rsidRPr="00A07F4E">
        <w:t xml:space="preserve"> egészére kiterjedő, illetve az egyes üzleti kapcsolatokra alkalmazott kockázatértékeléseket, a </w:t>
      </w:r>
      <w:proofErr w:type="spellStart"/>
      <w:r w:rsidRPr="00A07F4E">
        <w:t>monitoringhoz</w:t>
      </w:r>
      <w:proofErr w:type="spellEnd"/>
      <w:r w:rsidRPr="00A07F4E">
        <w:t xml:space="preserve"> kapcsolódó eljárásokat, azok hatékonyságát </w:t>
      </w:r>
      <w:r w:rsidR="008008DF" w:rsidRPr="00A07F4E">
        <w:t xml:space="preserve">értékelte </w:t>
      </w:r>
      <w:r w:rsidRPr="00A07F4E">
        <w:t>gyengéne</w:t>
      </w:r>
      <w:r w:rsidR="001C5EC3" w:rsidRPr="00A07F4E">
        <w:t>k</w:t>
      </w:r>
      <w:r w:rsidR="008008DF" w:rsidRPr="00A07F4E">
        <w:t xml:space="preserve">, míg az ellenőrzések egyéb területeit </w:t>
      </w:r>
      <w:r w:rsidR="00300907">
        <w:t>az MNB</w:t>
      </w:r>
      <w:r w:rsidR="008008DF" w:rsidRPr="00A07F4E">
        <w:t xml:space="preserve"> jónak tekintette.</w:t>
      </w:r>
      <w:r w:rsidR="001C0863" w:rsidRPr="00A07F4E">
        <w:rPr>
          <w:rStyle w:val="Lbjegyzet-hivatkozs"/>
        </w:rPr>
        <w:footnoteReference w:id="3"/>
      </w:r>
    </w:p>
    <w:p w14:paraId="1A685549" w14:textId="42E74763" w:rsidR="00BD2232" w:rsidRPr="00A07F4E" w:rsidRDefault="00D7264C" w:rsidP="00BD2232">
      <w:r w:rsidRPr="00A07F4E">
        <w:t xml:space="preserve">A szektorban a legnagyobb kockázat </w:t>
      </w:r>
      <w:r w:rsidR="00A37D9D">
        <w:t>a szolgáltatók</w:t>
      </w:r>
      <w:r w:rsidR="00BD2232" w:rsidRPr="00A07F4E">
        <w:t xml:space="preserve"> tranzakció</w:t>
      </w:r>
      <w:r w:rsidR="00C668CB" w:rsidRPr="00A07F4E">
        <w:t xml:space="preserve">monitoring </w:t>
      </w:r>
      <w:r w:rsidR="00BD2232" w:rsidRPr="00A07F4E">
        <w:t xml:space="preserve">rendszereinek hatékonysága, az ügyfél-átvilágítási folyamatok hiányosságai, a </w:t>
      </w:r>
      <w:r w:rsidR="00CE67D0">
        <w:t>be</w:t>
      </w:r>
      <w:r w:rsidR="00BD2232" w:rsidRPr="00A07F4E">
        <w:t xml:space="preserve">jelentések hatékonysága, valamint az ügyfelek és az egész </w:t>
      </w:r>
      <w:r w:rsidR="00A37D9D">
        <w:t>szolgáltatóra</w:t>
      </w:r>
      <w:r w:rsidR="00A37D9D" w:rsidRPr="00A07F4E">
        <w:t xml:space="preserve"> </w:t>
      </w:r>
      <w:r w:rsidR="00BD2232" w:rsidRPr="00A07F4E">
        <w:t xml:space="preserve">kiterjedő kockázatértékelések minősége. </w:t>
      </w:r>
      <w:r w:rsidRPr="00A07F4E">
        <w:t>A szektorok között a</w:t>
      </w:r>
      <w:r w:rsidR="00CE67D0">
        <w:t xml:space="preserve"> hitelintézeti szektorban a</w:t>
      </w:r>
      <w:r w:rsidRPr="00A07F4E">
        <w:t xml:space="preserve"> legjobb viszont </w:t>
      </w:r>
      <w:r w:rsidR="00BD2232" w:rsidRPr="00A07F4E">
        <w:t>az ügyfél-azonosítási folyamatok és politikák megfelelősége, valamint az ML/FT kockázatokkal kapcsolatos tudatosság.</w:t>
      </w:r>
    </w:p>
    <w:p w14:paraId="2F9C9149" w14:textId="2BEBEA1F" w:rsidR="007D408D" w:rsidRPr="00A07F4E" w:rsidRDefault="007D408D" w:rsidP="00A07F4E">
      <w:pPr>
        <w:pStyle w:val="Cmsor3"/>
        <w:numPr>
          <w:ilvl w:val="0"/>
          <w:numId w:val="69"/>
        </w:numPr>
        <w:ind w:left="567" w:hanging="283"/>
      </w:pPr>
      <w:bookmarkStart w:id="31" w:name="_Toc109906010"/>
      <w:r w:rsidRPr="00A07F4E">
        <w:t>Felügyeleti tevékenység</w:t>
      </w:r>
      <w:bookmarkEnd w:id="31"/>
    </w:p>
    <w:p w14:paraId="247E671A" w14:textId="3DAA8658" w:rsidR="007D408D" w:rsidRPr="00A07F4E" w:rsidRDefault="007F7F39" w:rsidP="007D408D">
      <w:r w:rsidRPr="00A07F4E">
        <w:t>A k</w:t>
      </w:r>
      <w:r w:rsidR="007D408D" w:rsidRPr="00A07F4E">
        <w:t xml:space="preserve">ockázatcsökkentő tényezőknél megjelenik, hogy </w:t>
      </w:r>
      <w:r w:rsidR="00300907">
        <w:t>az MNB</w:t>
      </w:r>
      <w:r w:rsidR="007D408D" w:rsidRPr="00A07F4E">
        <w:t xml:space="preserve"> az utóbbi években hangsúlyt fektetett a hitelintézeti szektor szereplőinek kockázatalapú felügyeletére, amelynek következtében nagyszámú kockázatos ügyfél hagyta el a magyar pénzügyi piacot, a készpénzfizetések és a </w:t>
      </w:r>
      <w:r w:rsidR="00470DAB">
        <w:t>valuta</w:t>
      </w:r>
      <w:r w:rsidR="00470DAB" w:rsidRPr="00A07F4E">
        <w:t>forgalom</w:t>
      </w:r>
      <w:r w:rsidR="007D408D" w:rsidRPr="00A07F4E">
        <w:t xml:space="preserve"> is csökkent. </w:t>
      </w:r>
      <w:r w:rsidRPr="00A07F4E">
        <w:t>A f</w:t>
      </w:r>
      <w:r w:rsidR="007D408D" w:rsidRPr="00A07F4E">
        <w:t>elügyeleti stratég</w:t>
      </w:r>
      <w:r w:rsidRPr="00A07F4E">
        <w:t>ia</w:t>
      </w:r>
      <w:r w:rsidR="007D408D" w:rsidRPr="00A07F4E">
        <w:t xml:space="preserve"> kidolgozásánál – </w:t>
      </w:r>
      <w:r w:rsidR="007D408D" w:rsidRPr="00A07F4E">
        <w:lastRenderedPageBreak/>
        <w:t xml:space="preserve">figyelemmel a kockázatalapú felügyelésre – </w:t>
      </w:r>
      <w:r w:rsidR="00300907">
        <w:t>az MNB</w:t>
      </w:r>
      <w:r w:rsidR="007D408D" w:rsidRPr="00A07F4E">
        <w:t xml:space="preserve"> azon </w:t>
      </w:r>
      <w:r w:rsidR="00A37D9D">
        <w:t>szolgáltatók</w:t>
      </w:r>
      <w:r w:rsidR="00A37D9D" w:rsidRPr="00A07F4E">
        <w:t xml:space="preserve"> </w:t>
      </w:r>
      <w:r w:rsidR="007D408D" w:rsidRPr="00A07F4E">
        <w:t xml:space="preserve">vizsgálatára helyezte a hangsúlyt, amelyek magasabb kockázati profillal rendelkeznek. Az </w:t>
      </w:r>
      <w:proofErr w:type="spellStart"/>
      <w:r w:rsidR="007D408D" w:rsidRPr="00A07F4E">
        <w:t>on</w:t>
      </w:r>
      <w:proofErr w:type="spellEnd"/>
      <w:r w:rsidR="007D408D" w:rsidRPr="00A07F4E">
        <w:t>-site vizsgálatok mellett</w:t>
      </w:r>
      <w:r w:rsidR="00300907">
        <w:t xml:space="preserve"> </w:t>
      </w:r>
      <w:proofErr w:type="spellStart"/>
      <w:r w:rsidR="00300907">
        <w:t>off</w:t>
      </w:r>
      <w:proofErr w:type="spellEnd"/>
      <w:r w:rsidR="00300907">
        <w:t>-site vizsgálatok</w:t>
      </w:r>
      <w:r w:rsidR="00124505">
        <w:t>ra</w:t>
      </w:r>
      <w:r w:rsidR="00300907">
        <w:t xml:space="preserve"> is</w:t>
      </w:r>
      <w:r w:rsidR="00124505">
        <w:t xml:space="preserve"> sor került</w:t>
      </w:r>
      <w:r w:rsidR="002467BB">
        <w:t>.</w:t>
      </w:r>
      <w:r w:rsidR="00124505">
        <w:t xml:space="preserve"> </w:t>
      </w:r>
      <w:r w:rsidR="002467BB">
        <w:t>M</w:t>
      </w:r>
      <w:r w:rsidR="00124505">
        <w:t xml:space="preserve">egállapítható, hogy </w:t>
      </w:r>
      <w:r w:rsidR="00300907">
        <w:t>a</w:t>
      </w:r>
      <w:r w:rsidR="002467BB">
        <w:t>z elmúlt időszakban a</w:t>
      </w:r>
      <w:r w:rsidR="00300907">
        <w:t xml:space="preserve"> pandémi</w:t>
      </w:r>
      <w:r w:rsidR="00E43740">
        <w:t>a</w:t>
      </w:r>
      <w:r w:rsidR="00300907">
        <w:t xml:space="preserve"> következtében az</w:t>
      </w:r>
      <w:r w:rsidR="007D408D" w:rsidRPr="00A07F4E">
        <w:t xml:space="preserve"> </w:t>
      </w:r>
      <w:proofErr w:type="spellStart"/>
      <w:r w:rsidR="007D408D" w:rsidRPr="00A07F4E">
        <w:t>off</w:t>
      </w:r>
      <w:proofErr w:type="spellEnd"/>
      <w:r w:rsidR="007D408D" w:rsidRPr="00A07F4E">
        <w:t>-site vizsgálatok</w:t>
      </w:r>
      <w:r w:rsidR="00300907">
        <w:t xml:space="preserve"> túlsúlya volt jellemző. A</w:t>
      </w:r>
      <w:r w:rsidR="007D408D" w:rsidRPr="00A07F4E">
        <w:t xml:space="preserve"> hitelintézetek </w:t>
      </w:r>
      <w:r w:rsidR="00300907">
        <w:t xml:space="preserve">folyamatos </w:t>
      </w:r>
      <w:r w:rsidR="007D408D" w:rsidRPr="00A07F4E">
        <w:t xml:space="preserve">felügyeletét </w:t>
      </w:r>
      <w:r w:rsidR="00300907">
        <w:t xml:space="preserve">továbbá </w:t>
      </w:r>
      <w:r w:rsidR="007D408D" w:rsidRPr="00A07F4E">
        <w:t xml:space="preserve">az éves és negyedéves adatszolgáltatások segítik. </w:t>
      </w:r>
    </w:p>
    <w:p w14:paraId="20461229" w14:textId="77777777" w:rsidR="001C5EC3" w:rsidRPr="00A07F4E" w:rsidRDefault="001C5EC3" w:rsidP="00A07F4E">
      <w:pPr>
        <w:pStyle w:val="Cmsor3"/>
        <w:numPr>
          <w:ilvl w:val="0"/>
          <w:numId w:val="69"/>
        </w:numPr>
        <w:ind w:left="567" w:hanging="283"/>
      </w:pPr>
      <w:bookmarkStart w:id="32" w:name="_Toc109906011"/>
      <w:r w:rsidRPr="00A07F4E">
        <w:t>Azonosított jogsértések</w:t>
      </w:r>
      <w:bookmarkEnd w:id="32"/>
    </w:p>
    <w:p w14:paraId="3B336DD6" w14:textId="1C456166" w:rsidR="001C5EC3" w:rsidRDefault="001C5EC3" w:rsidP="001C5EC3">
      <w:r w:rsidRPr="00A07F4E">
        <w:t>A</w:t>
      </w:r>
      <w:r w:rsidR="00300907">
        <w:t>z MNB</w:t>
      </w:r>
      <w:r w:rsidRPr="00A07F4E">
        <w:t xml:space="preserve"> számos jogsértést azonosított a hitelintézeti szektorban, amely leginkább az ügyfelek kockázatértékelésével, a gyanús tranzakciók riportjaival, valamint a képzésekkel és a tudatossággal kapcsolatban kerültek feltárásra. </w:t>
      </w:r>
    </w:p>
    <w:p w14:paraId="4DB3E64C" w14:textId="113385B6" w:rsidR="000D312B" w:rsidRDefault="000D312B" w:rsidP="001C5EC3">
      <w:r w:rsidRPr="000D312B">
        <w:t xml:space="preserve">Az MNB vizsgálatai során folyamatosan visszaméri a hitelintézeteknél felmerülő kockázatokat. Az </w:t>
      </w:r>
      <w:r w:rsidRPr="00F16B9C">
        <w:t>MNB a 2018-2020.</w:t>
      </w:r>
      <w:r w:rsidRPr="000D312B">
        <w:t xml:space="preserve"> időszakban 26 hitelintézetnél folytatott le vizsgálatot (vizsgálatokat). Ezen vizsgálatok kapcsán az MNB 210 esetben tett megállapítást, 19 esetben került sor határozat kiadására, a határozatokban 270.150.000 forint bírság megfizetésére kötelezte a vizsgált intézményeket.</w:t>
      </w:r>
      <w:r w:rsidR="00BC6E4B">
        <w:t xml:space="preserve"> L</w:t>
      </w:r>
      <w:r w:rsidR="00BC6E4B" w:rsidRPr="00BC6E4B">
        <w:t>egjelentősebb számban az ügyfél-átvilágítás, a tranzakciómonitoring és a bejelentés témakörben tett megállapításokat az MNB.</w:t>
      </w:r>
    </w:p>
    <w:p w14:paraId="786532B1" w14:textId="2CB64CDD" w:rsidR="00835B2F" w:rsidRDefault="00835B2F" w:rsidP="00835B2F">
      <w:r>
        <w:t xml:space="preserve">A tranzakció monitoring hiányosságai a 2018-2020 időszakban folyamatosan jelen voltak a vizsgálatok során. A monitoring rendszerrel szemben támasztott elvárások fokozódtak, </w:t>
      </w:r>
      <w:r w:rsidR="00A55FF6">
        <w:t>végrehajtásuk vonatkozásában határidők kerültek bevezetésre</w:t>
      </w:r>
      <w:r w:rsidR="00163E28">
        <w:t>, enne</w:t>
      </w:r>
      <w:r w:rsidR="00F26F20">
        <w:t>k</w:t>
      </w:r>
      <w:r w:rsidR="00163E28">
        <w:t xml:space="preserve"> betartása azonban a szolgáltatóknál számos esetben </w:t>
      </w:r>
      <w:r>
        <w:t xml:space="preserve">nem biztosított. Ez a kockázat korrelál a vállaltirányítás során tapasztalt hiányosságok számának növekedésével, mely részben az </w:t>
      </w:r>
      <w:proofErr w:type="spellStart"/>
      <w:r>
        <w:t>AML</w:t>
      </w:r>
      <w:proofErr w:type="spellEnd"/>
      <w:r>
        <w:t>/</w:t>
      </w:r>
      <w:proofErr w:type="spellStart"/>
      <w:r>
        <w:t>CFT</w:t>
      </w:r>
      <w:proofErr w:type="spellEnd"/>
      <w:r>
        <w:t xml:space="preserve"> terület nem megfelelő erőforrás-ellátottságából adódik.</w:t>
      </w:r>
    </w:p>
    <w:p w14:paraId="280C5216" w14:textId="77777777" w:rsidR="00E0702B" w:rsidRDefault="00E0702B" w:rsidP="00751F37">
      <w:pPr>
        <w:spacing w:after="120" w:line="240" w:lineRule="auto"/>
      </w:pPr>
      <w:r>
        <w:t>Az MNB az elmúlt időszakban lefolytatott vizsgálatai során az alábbi</w:t>
      </w:r>
      <w:r w:rsidR="00410B39">
        <w:t xml:space="preserve"> területeken detektált</w:t>
      </w:r>
      <w:r>
        <w:t xml:space="preserve"> kontrollhiányosságokat:</w:t>
      </w:r>
    </w:p>
    <w:p w14:paraId="0673D043" w14:textId="79B7E9EC" w:rsidR="00E0702B" w:rsidRDefault="00E0702B" w:rsidP="00751F37">
      <w:pPr>
        <w:pStyle w:val="Listaszerbekezds"/>
        <w:numPr>
          <w:ilvl w:val="0"/>
          <w:numId w:val="233"/>
        </w:numPr>
        <w:spacing w:after="120" w:line="240" w:lineRule="auto"/>
      </w:pPr>
      <w:r>
        <w:t xml:space="preserve">új belépő dolgozók oktatása </w:t>
      </w:r>
    </w:p>
    <w:p w14:paraId="240940A1" w14:textId="23825E60" w:rsidR="00E0702B" w:rsidRDefault="00E0702B" w:rsidP="00751F37">
      <w:pPr>
        <w:pStyle w:val="Listaszerbekezds"/>
        <w:numPr>
          <w:ilvl w:val="0"/>
          <w:numId w:val="233"/>
        </w:numPr>
        <w:spacing w:after="120" w:line="240" w:lineRule="auto"/>
      </w:pPr>
      <w:r>
        <w:t>kockázatok azonosítás</w:t>
      </w:r>
      <w:r w:rsidR="00410B39">
        <w:t>a</w:t>
      </w:r>
      <w:r>
        <w:t xml:space="preserve">, belső kockázatértékelés </w:t>
      </w:r>
    </w:p>
    <w:p w14:paraId="1201335D" w14:textId="6978D468" w:rsidR="00E0702B" w:rsidRDefault="00E0702B" w:rsidP="00751F37">
      <w:pPr>
        <w:pStyle w:val="Listaszerbekezds"/>
        <w:numPr>
          <w:ilvl w:val="0"/>
          <w:numId w:val="233"/>
        </w:numPr>
        <w:spacing w:after="120" w:line="240" w:lineRule="auto"/>
      </w:pPr>
      <w:r>
        <w:t xml:space="preserve">a </w:t>
      </w:r>
      <w:proofErr w:type="spellStart"/>
      <w:r>
        <w:t>pénzmosás</w:t>
      </w:r>
      <w:proofErr w:type="spellEnd"/>
      <w:r>
        <w:t xml:space="preserve"> gyanús ügyletek kiszűrését biztosító monitoring rendszerek </w:t>
      </w:r>
    </w:p>
    <w:p w14:paraId="6D68FFA0" w14:textId="51F0BA0E" w:rsidR="00E0702B" w:rsidRDefault="00410B39" w:rsidP="00751F37">
      <w:pPr>
        <w:pStyle w:val="Listaszerbekezds"/>
        <w:numPr>
          <w:ilvl w:val="0"/>
          <w:numId w:val="233"/>
        </w:numPr>
        <w:spacing w:after="120" w:line="240" w:lineRule="auto"/>
      </w:pPr>
      <w:proofErr w:type="spellStart"/>
      <w:r>
        <w:t>NAV</w:t>
      </w:r>
      <w:proofErr w:type="spellEnd"/>
      <w:r>
        <w:t xml:space="preserve"> </w:t>
      </w:r>
      <w:proofErr w:type="spellStart"/>
      <w:r>
        <w:t>PEI</w:t>
      </w:r>
      <w:proofErr w:type="spellEnd"/>
      <w:r>
        <w:t xml:space="preserve"> részére teljesítendő </w:t>
      </w:r>
      <w:r w:rsidR="00E0702B">
        <w:t>bejelentése</w:t>
      </w:r>
      <w:r>
        <w:t xml:space="preserve">k </w:t>
      </w:r>
      <w:r w:rsidR="00E0702B">
        <w:t xml:space="preserve"> </w:t>
      </w:r>
    </w:p>
    <w:p w14:paraId="1D35A0DB" w14:textId="6F0B9D25" w:rsidR="00E0702B" w:rsidRDefault="00E0702B" w:rsidP="00751F37">
      <w:pPr>
        <w:pStyle w:val="Listaszerbekezds"/>
        <w:numPr>
          <w:ilvl w:val="0"/>
          <w:numId w:val="233"/>
        </w:numPr>
        <w:spacing w:after="120" w:line="240" w:lineRule="auto"/>
      </w:pPr>
      <w:r>
        <w:t xml:space="preserve">IT támogató rendszerek </w:t>
      </w:r>
    </w:p>
    <w:p w14:paraId="2D68C003" w14:textId="6F6C8C30" w:rsidR="00E0702B" w:rsidRDefault="00410B39" w:rsidP="00751F37">
      <w:pPr>
        <w:pStyle w:val="Listaszerbekezds"/>
        <w:numPr>
          <w:ilvl w:val="0"/>
          <w:numId w:val="233"/>
        </w:numPr>
        <w:spacing w:after="120" w:line="240" w:lineRule="auto"/>
      </w:pPr>
      <w:r>
        <w:t xml:space="preserve">a </w:t>
      </w:r>
      <w:r w:rsidR="00E0702B">
        <w:t xml:space="preserve">pénzmosási bejelentésen felüli, további kockázatcsökkentő intézkedések </w:t>
      </w:r>
    </w:p>
    <w:p w14:paraId="269AED63" w14:textId="1D3BE7BF" w:rsidR="00E0702B" w:rsidRDefault="00E0702B" w:rsidP="00751F37">
      <w:pPr>
        <w:pStyle w:val="Listaszerbekezds"/>
        <w:numPr>
          <w:ilvl w:val="0"/>
          <w:numId w:val="233"/>
        </w:numPr>
        <w:spacing w:after="120" w:line="240" w:lineRule="auto"/>
      </w:pPr>
      <w:r>
        <w:t xml:space="preserve">védelmi vonalak </w:t>
      </w:r>
    </w:p>
    <w:p w14:paraId="62F314E0" w14:textId="3203BB0F" w:rsidR="00E0702B" w:rsidRDefault="00E0702B" w:rsidP="00751F37">
      <w:pPr>
        <w:pStyle w:val="Listaszerbekezds"/>
        <w:numPr>
          <w:ilvl w:val="0"/>
          <w:numId w:val="233"/>
        </w:numPr>
        <w:spacing w:after="120" w:line="240" w:lineRule="auto"/>
      </w:pPr>
      <w:r>
        <w:t xml:space="preserve">ügyfél személyazonosságát igazoló </w:t>
      </w:r>
      <w:r w:rsidR="00D26C57">
        <w:t xml:space="preserve">okiratok </w:t>
      </w:r>
      <w:r w:rsidR="002C67FB">
        <w:t>másolása</w:t>
      </w:r>
    </w:p>
    <w:p w14:paraId="3F097466" w14:textId="1B1E8DFE" w:rsidR="009E1526" w:rsidRPr="00A07F4E" w:rsidRDefault="009E1526" w:rsidP="009E1526">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az illetékes hatóságok által azonosított leggyakoribb jogsértések az ügyfél-átvilágítással, a</w:t>
      </w:r>
      <w:r w:rsidR="00653710" w:rsidRPr="00A07F4E">
        <w:t xml:space="preserve"> tranzakció monitoring </w:t>
      </w:r>
      <w:r w:rsidRPr="00A07F4E">
        <w:t xml:space="preserve">hatékonyságával és az ezt követő </w:t>
      </w:r>
      <w:r w:rsidR="00144800">
        <w:t>bejelentés</w:t>
      </w:r>
      <w:r w:rsidRPr="00A07F4E">
        <w:t>ek benyújtásával, valamint az ML/</w:t>
      </w:r>
      <w:proofErr w:type="spellStart"/>
      <w:r w:rsidRPr="00A07F4E">
        <w:t>TF</w:t>
      </w:r>
      <w:proofErr w:type="spellEnd"/>
      <w:r w:rsidRPr="00A07F4E">
        <w:t xml:space="preserve"> kockázatok kezelésével</w:t>
      </w:r>
      <w:r w:rsidR="00653710" w:rsidRPr="00A07F4E">
        <w:t xml:space="preserve"> – ideértve </w:t>
      </w:r>
      <w:r w:rsidRPr="00A07F4E">
        <w:t xml:space="preserve">az </w:t>
      </w:r>
      <w:proofErr w:type="spellStart"/>
      <w:r w:rsidRPr="00A07F4E">
        <w:t>AML</w:t>
      </w:r>
      <w:proofErr w:type="spellEnd"/>
      <w:r w:rsidRPr="00A07F4E">
        <w:t>/</w:t>
      </w:r>
      <w:proofErr w:type="spellStart"/>
      <w:r w:rsidRPr="00A07F4E">
        <w:t>CFT</w:t>
      </w:r>
      <w:proofErr w:type="spellEnd"/>
      <w:r w:rsidRPr="00A07F4E">
        <w:t xml:space="preserve"> politikákat és eljárásokat, a belső ellenőrzéseket és a nem megfelelő </w:t>
      </w:r>
      <w:proofErr w:type="spellStart"/>
      <w:r w:rsidRPr="00A07F4E">
        <w:t>AML</w:t>
      </w:r>
      <w:proofErr w:type="spellEnd"/>
      <w:r w:rsidRPr="00A07F4E">
        <w:t>/</w:t>
      </w:r>
      <w:proofErr w:type="spellStart"/>
      <w:r w:rsidRPr="00A07F4E">
        <w:t>CFT</w:t>
      </w:r>
      <w:proofErr w:type="spellEnd"/>
      <w:r w:rsidRPr="00A07F4E">
        <w:t xml:space="preserve"> erőforrásokat </w:t>
      </w:r>
      <w:r w:rsidR="00653710" w:rsidRPr="00A07F4E">
        <w:t>is –</w:t>
      </w:r>
      <w:r w:rsidRPr="00A07F4E">
        <w:t xml:space="preserve"> voltak kapcsolatosak</w:t>
      </w:r>
      <w:r w:rsidR="00653710" w:rsidRPr="00A07F4E">
        <w:t>. A szektorban</w:t>
      </w:r>
      <w:r w:rsidRPr="00A07F4E">
        <w:t xml:space="preserve"> feltárt jogsértések többségét az illetékes hatóságok közepes vagy kisebb súlyúnak minősített</w:t>
      </w:r>
      <w:r w:rsidR="00653710" w:rsidRPr="00A07F4E">
        <w:t>e</w:t>
      </w:r>
      <w:r w:rsidRPr="00A07F4E">
        <w:t>. A</w:t>
      </w:r>
      <w:r w:rsidR="00653710" w:rsidRPr="00A07F4E">
        <w:t xml:space="preserve">z </w:t>
      </w:r>
      <w:proofErr w:type="spellStart"/>
      <w:r w:rsidR="00653710" w:rsidRPr="00A07F4E">
        <w:t>EBA</w:t>
      </w:r>
      <w:proofErr w:type="spellEnd"/>
      <w:r w:rsidR="00653710" w:rsidRPr="00A07F4E">
        <w:t xml:space="preserve"> </w:t>
      </w:r>
      <w:proofErr w:type="spellStart"/>
      <w:r w:rsidR="00653710" w:rsidRPr="00A07F4E">
        <w:t>Opinion</w:t>
      </w:r>
      <w:proofErr w:type="spellEnd"/>
      <w:r w:rsidR="00653710" w:rsidRPr="00A07F4E">
        <w:t xml:space="preserve"> alapján, </w:t>
      </w:r>
      <w:r w:rsidRPr="00A07F4E">
        <w:t xml:space="preserve">a felügyeleti tevékenység </w:t>
      </w:r>
      <w:r w:rsidR="00653710" w:rsidRPr="00A07F4E">
        <w:t>növekedésével</w:t>
      </w:r>
      <w:r w:rsidRPr="00A07F4E">
        <w:t xml:space="preserve"> összhangban</w:t>
      </w:r>
      <w:r w:rsidR="00300907">
        <w:t>,</w:t>
      </w:r>
      <w:r w:rsidRPr="00A07F4E">
        <w:t xml:space="preserve"> összességében jelentősen megnőtt a megállapított jogsértések száma.</w:t>
      </w:r>
    </w:p>
    <w:p w14:paraId="68C335BC" w14:textId="333AD7A2" w:rsidR="001C5EC3" w:rsidRPr="00A07F4E" w:rsidRDefault="00300907" w:rsidP="001C5EC3">
      <w:r>
        <w:t>Az MNB</w:t>
      </w:r>
      <w:r w:rsidR="001C5EC3" w:rsidRPr="00A07F4E">
        <w:t xml:space="preserve"> több esetben felszólította </w:t>
      </w:r>
      <w:r w:rsidR="00A37D9D">
        <w:t>a</w:t>
      </w:r>
      <w:r>
        <w:t xml:space="preserve"> Szektorhoz tartozó</w:t>
      </w:r>
      <w:r w:rsidR="00A37D9D">
        <w:t xml:space="preserve"> szolgáltató</w:t>
      </w:r>
      <w:r>
        <w:t>ka</w:t>
      </w:r>
      <w:r w:rsidR="00A37D9D">
        <w:t>t</w:t>
      </w:r>
      <w:r w:rsidR="001C5EC3" w:rsidRPr="00A07F4E">
        <w:t xml:space="preserve"> a feltárt hiányosságok orvoslására, mind határozatban, mind vezetői levélben. Ezen felül szankcióként </w:t>
      </w:r>
      <w:r w:rsidR="006813E2" w:rsidRPr="00A07F4E">
        <w:t>a korábbi</w:t>
      </w:r>
      <w:r w:rsidR="007A617F">
        <w:t>ak</w:t>
      </w:r>
      <w:r w:rsidR="006813E2" w:rsidRPr="00A07F4E">
        <w:t xml:space="preserve">nál jelentősebb </w:t>
      </w:r>
      <w:r w:rsidR="001C5EC3" w:rsidRPr="00A07F4E">
        <w:t xml:space="preserve">bírságok kerültek kiszabásra. </w:t>
      </w:r>
    </w:p>
    <w:p w14:paraId="23F14E7B" w14:textId="77777777" w:rsidR="008C555C" w:rsidRPr="00A07F4E" w:rsidRDefault="00666159" w:rsidP="00A07F4E">
      <w:pPr>
        <w:pStyle w:val="Cmsor3"/>
        <w:numPr>
          <w:ilvl w:val="0"/>
          <w:numId w:val="69"/>
        </w:numPr>
        <w:ind w:left="567" w:hanging="283"/>
      </w:pPr>
      <w:bookmarkStart w:id="33" w:name="_Toc109906012"/>
      <w:r w:rsidRPr="00A07F4E">
        <w:t>Alszektorok</w:t>
      </w:r>
      <w:bookmarkEnd w:id="33"/>
    </w:p>
    <w:p w14:paraId="12B40B4D" w14:textId="6E8D7528" w:rsidR="00666159" w:rsidRPr="00A07F4E" w:rsidRDefault="00666159" w:rsidP="00A07F4E">
      <w:pPr>
        <w:pStyle w:val="Listaszerbekezds"/>
        <w:numPr>
          <w:ilvl w:val="0"/>
          <w:numId w:val="191"/>
        </w:numPr>
        <w:ind w:left="851" w:hanging="284"/>
      </w:pPr>
      <w:r w:rsidRPr="00A07F4E">
        <w:t>Szakosított hitelintézet</w:t>
      </w:r>
      <w:r w:rsidR="00E11FED">
        <w:t>i</w:t>
      </w:r>
      <w:r w:rsidR="00EA0DCE">
        <w:t xml:space="preserve"> –</w:t>
      </w:r>
      <w:r w:rsidR="005950FA">
        <w:t xml:space="preserve"> alszektor </w:t>
      </w:r>
    </w:p>
    <w:p w14:paraId="20225540" w14:textId="1608F0BB" w:rsidR="005950FA" w:rsidRDefault="005950FA" w:rsidP="008C555C">
      <w:r w:rsidRPr="005950FA">
        <w:t xml:space="preserve">Magyarországon a </w:t>
      </w:r>
      <w:r w:rsidR="00AB63A8">
        <w:t>Szakosított hitelintézeti</w:t>
      </w:r>
      <w:r w:rsidRPr="005950FA">
        <w:t xml:space="preserve"> alszektorban </w:t>
      </w:r>
      <w:r w:rsidR="008B7609" w:rsidRPr="00FC37B3">
        <w:t xml:space="preserve">1 </w:t>
      </w:r>
      <w:r w:rsidR="00944E94" w:rsidRPr="00FC37B3">
        <w:t>és 5 közötti</w:t>
      </w:r>
      <w:r w:rsidRPr="00FC37B3">
        <w:t xml:space="preserve"> </w:t>
      </w:r>
      <w:r w:rsidR="00944E94" w:rsidRPr="00FC37B3">
        <w:t>számú</w:t>
      </w:r>
      <w:r w:rsidR="00944E94">
        <w:t xml:space="preserve"> </w:t>
      </w:r>
      <w:r w:rsidR="00A37D9D">
        <w:t>szolgáltató</w:t>
      </w:r>
      <w:r w:rsidR="00A37D9D" w:rsidRPr="005950FA">
        <w:t xml:space="preserve"> </w:t>
      </w:r>
      <w:r w:rsidRPr="005950FA">
        <w:t>található.</w:t>
      </w:r>
    </w:p>
    <w:p w14:paraId="602D4EA4" w14:textId="76E36737" w:rsidR="008C555C" w:rsidRPr="00A07F4E" w:rsidRDefault="008C555C" w:rsidP="008C555C">
      <w:r w:rsidRPr="009F3A30">
        <w:t>A szektorban rejlő</w:t>
      </w:r>
      <w:r w:rsidR="0067124E" w:rsidRPr="009F3A30">
        <w:t>, inherens</w:t>
      </w:r>
      <w:r w:rsidRPr="009F3A30">
        <w:t xml:space="preserve"> kockázatok értékelése az alszektorok tekintetében is alkalmazandó, azonban eltérés a szektor és </w:t>
      </w:r>
      <w:r w:rsidR="0067124E" w:rsidRPr="009F3A30">
        <w:t xml:space="preserve">az </w:t>
      </w:r>
      <w:r w:rsidRPr="009F3A30">
        <w:t>alszektorok között az ügyfelek</w:t>
      </w:r>
      <w:r w:rsidR="0067124E" w:rsidRPr="009F3A30">
        <w:t>ben</w:t>
      </w:r>
      <w:r w:rsidRPr="009F3A30">
        <w:t>, valamint az ügyletek</w:t>
      </w:r>
      <w:r w:rsidR="0067124E" w:rsidRPr="009F3A30">
        <w:t>ben</w:t>
      </w:r>
      <w:r w:rsidRPr="009F3A30">
        <w:t xml:space="preserve"> mutatkozik meg. Az ügyfélszámok ezen alszektorokban jelentősen alacsonyabbak és kevesebb a nem rezidens ügyfelek száma, illetve jellemzőbbek a belföldi ügyletek</w:t>
      </w:r>
      <w:r w:rsidR="00124505">
        <w:t xml:space="preserve">, amelyre tekintettel az alszektorban rejlő inherens kockázat – a szektor értékétől eltérően – </w:t>
      </w:r>
      <w:r w:rsidR="007A617F">
        <w:t>J</w:t>
      </w:r>
      <w:r w:rsidR="00124505">
        <w:t>elentős</w:t>
      </w:r>
      <w:r w:rsidRPr="009F3A30">
        <w:t xml:space="preserve">. </w:t>
      </w:r>
      <w:r w:rsidR="00124505">
        <w:t>Az MNB</w:t>
      </w:r>
      <w:r w:rsidR="00FC4014">
        <w:t>-nek</w:t>
      </w:r>
      <w:r w:rsidR="00124505">
        <w:t xml:space="preserve"> a</w:t>
      </w:r>
      <w:r w:rsidR="008244E2">
        <w:t xml:space="preserve">z inherens kockázat eltérítését </w:t>
      </w:r>
      <w:r w:rsidR="00FC4014">
        <w:t>megalapozó</w:t>
      </w:r>
      <w:r w:rsidR="008244E2">
        <w:t xml:space="preserve"> információ</w:t>
      </w:r>
      <w:r w:rsidR="00FC4014">
        <w:t>ról tudomása nincsen</w:t>
      </w:r>
      <w:r w:rsidR="008244E2">
        <w:t xml:space="preserve">, így az </w:t>
      </w:r>
      <w:r w:rsidRPr="009F3A30">
        <w:t>inherens kockázata</w:t>
      </w:r>
      <w:r w:rsidR="008244E2">
        <w:t xml:space="preserve"> a</w:t>
      </w:r>
      <w:r w:rsidR="00E11FED">
        <w:t xml:space="preserve"> </w:t>
      </w:r>
      <w:r w:rsidR="00E11FED" w:rsidRPr="00E11FED">
        <w:t>Szakosított hitelintézeti</w:t>
      </w:r>
      <w:r w:rsidR="008244E2">
        <w:t xml:space="preserve"> alszektornak</w:t>
      </w:r>
      <w:r w:rsidRPr="009F3A30">
        <w:t xml:space="preserve"> </w:t>
      </w:r>
      <w:r w:rsidR="00066BBB" w:rsidRPr="009F3A30">
        <w:t>megegyezik</w:t>
      </w:r>
      <w:r w:rsidRPr="009F3A30">
        <w:t xml:space="preserve"> a maradványkockázat</w:t>
      </w:r>
      <w:r w:rsidR="00066BBB" w:rsidRPr="009F3A30">
        <w:t>tal, amely Jelentős</w:t>
      </w:r>
      <w:r w:rsidRPr="009F3A30">
        <w:t>.</w:t>
      </w:r>
    </w:p>
    <w:tbl>
      <w:tblPr>
        <w:tblW w:w="2740" w:type="dxa"/>
        <w:tblCellMar>
          <w:left w:w="70" w:type="dxa"/>
          <w:right w:w="70" w:type="dxa"/>
        </w:tblCellMar>
        <w:tblLook w:val="04A0" w:firstRow="1" w:lastRow="0" w:firstColumn="1" w:lastColumn="0" w:noHBand="0" w:noVBand="1"/>
      </w:tblPr>
      <w:tblGrid>
        <w:gridCol w:w="1780"/>
        <w:gridCol w:w="960"/>
      </w:tblGrid>
      <w:tr w:rsidR="008C555C" w:rsidRPr="00A07F4E" w14:paraId="447064B9" w14:textId="77777777" w:rsidTr="008C555C">
        <w:trPr>
          <w:trHeight w:val="300"/>
        </w:trPr>
        <w:tc>
          <w:tcPr>
            <w:tcW w:w="1780" w:type="dxa"/>
            <w:tcBorders>
              <w:top w:val="nil"/>
              <w:left w:val="nil"/>
              <w:bottom w:val="nil"/>
              <w:right w:val="nil"/>
            </w:tcBorders>
            <w:shd w:val="clear" w:color="auto" w:fill="auto"/>
            <w:noWrap/>
            <w:vAlign w:val="center"/>
            <w:hideMark/>
          </w:tcPr>
          <w:p w14:paraId="452ED3FA" w14:textId="77777777" w:rsidR="008C555C" w:rsidRPr="00A07F4E" w:rsidRDefault="008C555C" w:rsidP="008C555C">
            <w:pPr>
              <w:spacing w:after="0" w:line="240" w:lineRule="auto"/>
              <w:jc w:val="center"/>
              <w:rPr>
                <w:rFonts w:eastAsia="Times New Roman" w:cs="Calibri"/>
                <w:b/>
                <w:bCs/>
                <w:color w:val="000000"/>
                <w:sz w:val="16"/>
                <w:szCs w:val="16"/>
              </w:rPr>
            </w:pPr>
            <w:r w:rsidRPr="00A07F4E">
              <w:rPr>
                <w:rFonts w:eastAsia="Times New Roman" w:cs="Calibri"/>
                <w:b/>
                <w:bCs/>
                <w:color w:val="000000"/>
                <w:sz w:val="16"/>
                <w:szCs w:val="16"/>
              </w:rPr>
              <w:lastRenderedPageBreak/>
              <w:t>Inherens kockázat:</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086F4F7" w14:textId="77777777" w:rsidR="008C555C" w:rsidRPr="00A07F4E" w:rsidRDefault="008C555C" w:rsidP="008C555C">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Jelentős</w:t>
            </w:r>
          </w:p>
        </w:tc>
      </w:tr>
      <w:tr w:rsidR="008C555C" w:rsidRPr="00A07F4E" w14:paraId="3F2B3563" w14:textId="77777777" w:rsidTr="008C555C">
        <w:trPr>
          <w:trHeight w:val="300"/>
        </w:trPr>
        <w:tc>
          <w:tcPr>
            <w:tcW w:w="1780" w:type="dxa"/>
            <w:tcBorders>
              <w:top w:val="nil"/>
              <w:left w:val="nil"/>
              <w:bottom w:val="nil"/>
              <w:right w:val="nil"/>
            </w:tcBorders>
            <w:shd w:val="clear" w:color="auto" w:fill="auto"/>
            <w:noWrap/>
            <w:vAlign w:val="center"/>
            <w:hideMark/>
          </w:tcPr>
          <w:p w14:paraId="26D4E181" w14:textId="77777777" w:rsidR="008C555C" w:rsidRPr="00A07F4E" w:rsidRDefault="008C555C" w:rsidP="008C555C">
            <w:pPr>
              <w:spacing w:after="0" w:line="240" w:lineRule="auto"/>
              <w:jc w:val="center"/>
              <w:rPr>
                <w:rFonts w:eastAsia="Times New Roman" w:cs="Calibri"/>
                <w:b/>
                <w:bCs/>
                <w:color w:val="000000"/>
                <w:sz w:val="16"/>
                <w:szCs w:val="16"/>
              </w:rPr>
            </w:pPr>
            <w:r w:rsidRPr="00A07F4E">
              <w:rPr>
                <w:rFonts w:cs="Calibri"/>
                <w:b/>
                <w:bCs/>
                <w:color w:val="000000"/>
                <w:sz w:val="16"/>
                <w:szCs w:val="16"/>
              </w:rPr>
              <w:t>Maradványkockázat:</w:t>
            </w:r>
          </w:p>
        </w:tc>
        <w:tc>
          <w:tcPr>
            <w:tcW w:w="960" w:type="dxa"/>
            <w:tcBorders>
              <w:top w:val="nil"/>
              <w:left w:val="single" w:sz="4" w:space="0" w:color="auto"/>
              <w:bottom w:val="single" w:sz="4" w:space="0" w:color="auto"/>
              <w:right w:val="single" w:sz="4" w:space="0" w:color="auto"/>
            </w:tcBorders>
            <w:shd w:val="clear" w:color="000000" w:fill="FFC000"/>
            <w:noWrap/>
            <w:vAlign w:val="center"/>
            <w:hideMark/>
          </w:tcPr>
          <w:p w14:paraId="4FDBD29A" w14:textId="77777777" w:rsidR="008C555C" w:rsidRPr="00A07F4E" w:rsidRDefault="008C555C" w:rsidP="008C555C">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Jelentős</w:t>
            </w:r>
          </w:p>
        </w:tc>
      </w:tr>
    </w:tbl>
    <w:p w14:paraId="47343CF4" w14:textId="4FFD4254" w:rsidR="004C2028" w:rsidRDefault="004C2028" w:rsidP="00666159"/>
    <w:p w14:paraId="10A814DA" w14:textId="7007E4E9" w:rsidR="00DB03D4" w:rsidRPr="00DB03D4" w:rsidRDefault="00CE67D0" w:rsidP="00751F37">
      <w:pPr>
        <w:pStyle w:val="Listaszerbekezds"/>
        <w:numPr>
          <w:ilvl w:val="0"/>
          <w:numId w:val="191"/>
        </w:numPr>
        <w:ind w:left="851" w:hanging="284"/>
      </w:pPr>
      <w:proofErr w:type="spellStart"/>
      <w:r>
        <w:t>AML</w:t>
      </w:r>
      <w:proofErr w:type="spellEnd"/>
      <w:r>
        <w:t>/</w:t>
      </w:r>
      <w:proofErr w:type="spellStart"/>
      <w:r>
        <w:t>CFT</w:t>
      </w:r>
      <w:proofErr w:type="spellEnd"/>
      <w:r w:rsidR="00DB03D4" w:rsidRPr="00DB03D4">
        <w:t xml:space="preserve"> kollégium mellett működő külföldi érintettségű csoport</w:t>
      </w:r>
      <w:r w:rsidR="00DB03D4">
        <w:t>tag</w:t>
      </w:r>
      <w:r w:rsidR="00EA0DCE">
        <w:t xml:space="preserve"> – </w:t>
      </w:r>
      <w:r w:rsidR="00DB03D4">
        <w:t xml:space="preserve">alszektor </w:t>
      </w:r>
    </w:p>
    <w:p w14:paraId="7E6D16DA" w14:textId="79E5BA93" w:rsidR="00DB03D4" w:rsidRDefault="00DB03D4" w:rsidP="00DB03D4">
      <w:r>
        <w:t xml:space="preserve">Magyarországon </w:t>
      </w:r>
      <w:r w:rsidR="00C51A6A">
        <w:t>jelen alszektorban</w:t>
      </w:r>
      <w:r>
        <w:t xml:space="preserve"> </w:t>
      </w:r>
      <w:r w:rsidR="00467360" w:rsidRPr="00FC37B3">
        <w:t>20-30</w:t>
      </w:r>
      <w:r w:rsidRPr="00FC37B3">
        <w:t xml:space="preserve"> közötti</w:t>
      </w:r>
      <w:r>
        <w:t xml:space="preserve"> számú szolgáltató van jelen. </w:t>
      </w:r>
    </w:p>
    <w:p w14:paraId="79BCF701" w14:textId="3C5CC64D" w:rsidR="00DB03D4" w:rsidRPr="00A07F4E" w:rsidRDefault="00752EF6" w:rsidP="00DB03D4">
      <w:r>
        <w:rPr>
          <w:rFonts w:cs="Times New Roman"/>
        </w:rPr>
        <w:t xml:space="preserve">Jelen alszektorba tartoznak a külföldi székhelyű hitelintézetek magyar leányvállalatai, </w:t>
      </w:r>
      <w:proofErr w:type="spellStart"/>
      <w:r>
        <w:rPr>
          <w:rFonts w:cs="Times New Roman"/>
        </w:rPr>
        <w:t>fióktelepei</w:t>
      </w:r>
      <w:proofErr w:type="spellEnd"/>
      <w:r>
        <w:rPr>
          <w:rFonts w:cs="Times New Roman"/>
        </w:rPr>
        <w:t>. A közös jellemzőjük, hogy a külföldi tulajdonos anya</w:t>
      </w:r>
      <w:r w:rsidR="00E4050C">
        <w:rPr>
          <w:rFonts w:cs="Times New Roman"/>
        </w:rPr>
        <w:t>vállalat</w:t>
      </w:r>
      <w:r>
        <w:rPr>
          <w:rFonts w:cs="Times New Roman"/>
        </w:rPr>
        <w:t xml:space="preserve"> jellemzően több</w:t>
      </w:r>
      <w:r w:rsidR="004D51C1">
        <w:rPr>
          <w:rFonts w:cs="Times New Roman"/>
        </w:rPr>
        <w:t>,</w:t>
      </w:r>
      <w:r>
        <w:rPr>
          <w:rFonts w:cs="Times New Roman"/>
        </w:rPr>
        <w:t xml:space="preserve"> mint három tagországban rendelkez</w:t>
      </w:r>
      <w:r w:rsidR="00213916">
        <w:rPr>
          <w:rFonts w:cs="Times New Roman"/>
        </w:rPr>
        <w:t>ik</w:t>
      </w:r>
      <w:r>
        <w:rPr>
          <w:rFonts w:cs="Times New Roman"/>
        </w:rPr>
        <w:t xml:space="preserve"> leányvállalattal vagy fiókteleppel, így az </w:t>
      </w:r>
      <w:proofErr w:type="spellStart"/>
      <w:r w:rsidRPr="00FC116C">
        <w:rPr>
          <w:rFonts w:cs="Times New Roman"/>
        </w:rPr>
        <w:t>AML</w:t>
      </w:r>
      <w:proofErr w:type="spellEnd"/>
      <w:r w:rsidRPr="00FC116C">
        <w:rPr>
          <w:rFonts w:cs="Times New Roman"/>
        </w:rPr>
        <w:t>/</w:t>
      </w:r>
      <w:proofErr w:type="spellStart"/>
      <w:r w:rsidRPr="00FC116C">
        <w:rPr>
          <w:rFonts w:cs="Times New Roman"/>
        </w:rPr>
        <w:t>CFT</w:t>
      </w:r>
      <w:proofErr w:type="spellEnd"/>
      <w:r w:rsidRPr="00FC116C">
        <w:rPr>
          <w:rFonts w:cs="Times New Roman"/>
        </w:rPr>
        <w:t xml:space="preserve"> kollégiumokról szóló </w:t>
      </w:r>
      <w:proofErr w:type="spellStart"/>
      <w:r w:rsidRPr="00FC116C">
        <w:rPr>
          <w:rFonts w:cs="Times New Roman"/>
        </w:rPr>
        <w:t>E</w:t>
      </w:r>
      <w:r w:rsidR="00A96D16">
        <w:rPr>
          <w:rFonts w:cs="Times New Roman"/>
        </w:rPr>
        <w:t>S</w:t>
      </w:r>
      <w:r w:rsidRPr="00FC116C">
        <w:rPr>
          <w:rFonts w:cs="Times New Roman"/>
        </w:rPr>
        <w:t>A</w:t>
      </w:r>
      <w:proofErr w:type="spellEnd"/>
      <w:r w:rsidRPr="00FC116C">
        <w:rPr>
          <w:rFonts w:cs="Times New Roman"/>
        </w:rPr>
        <w:t xml:space="preserve"> iránymutatás</w:t>
      </w:r>
      <w:r>
        <w:rPr>
          <w:rFonts w:cs="Times New Roman"/>
        </w:rPr>
        <w:t xml:space="preserve"> alapján ezen esetekben </w:t>
      </w:r>
      <w:proofErr w:type="spellStart"/>
      <w:r>
        <w:rPr>
          <w:rFonts w:cs="Times New Roman"/>
        </w:rPr>
        <w:t>AML</w:t>
      </w:r>
      <w:proofErr w:type="spellEnd"/>
      <w:r>
        <w:rPr>
          <w:rFonts w:cs="Times New Roman"/>
        </w:rPr>
        <w:t>/</w:t>
      </w:r>
      <w:proofErr w:type="spellStart"/>
      <w:r>
        <w:rPr>
          <w:rFonts w:cs="Times New Roman"/>
        </w:rPr>
        <w:t>CFT</w:t>
      </w:r>
      <w:proofErr w:type="spellEnd"/>
      <w:r>
        <w:rPr>
          <w:rFonts w:cs="Times New Roman"/>
        </w:rPr>
        <w:t xml:space="preserve"> kollégium felállítása megtörtént. A kollégium keretében a tagországok illetékes hatóságai, illetve – az </w:t>
      </w:r>
      <w:proofErr w:type="spellStart"/>
      <w:r w:rsidRPr="00FC116C">
        <w:rPr>
          <w:rFonts w:cs="Times New Roman"/>
        </w:rPr>
        <w:t>AML</w:t>
      </w:r>
      <w:proofErr w:type="spellEnd"/>
      <w:r w:rsidRPr="00FC116C">
        <w:rPr>
          <w:rFonts w:cs="Times New Roman"/>
        </w:rPr>
        <w:t>/</w:t>
      </w:r>
      <w:proofErr w:type="spellStart"/>
      <w:r w:rsidRPr="00FC116C">
        <w:rPr>
          <w:rFonts w:cs="Times New Roman"/>
        </w:rPr>
        <w:t>CFT</w:t>
      </w:r>
      <w:proofErr w:type="spellEnd"/>
      <w:r w:rsidRPr="00FC116C">
        <w:rPr>
          <w:rFonts w:cs="Times New Roman"/>
        </w:rPr>
        <w:t xml:space="preserve"> kollégiumokról szóló </w:t>
      </w:r>
      <w:proofErr w:type="spellStart"/>
      <w:r w:rsidRPr="00FC116C">
        <w:rPr>
          <w:rFonts w:cs="Times New Roman"/>
        </w:rPr>
        <w:t>E</w:t>
      </w:r>
      <w:r w:rsidR="00A96D16">
        <w:rPr>
          <w:rFonts w:cs="Times New Roman"/>
        </w:rPr>
        <w:t>S</w:t>
      </w:r>
      <w:r w:rsidRPr="00FC116C">
        <w:rPr>
          <w:rFonts w:cs="Times New Roman"/>
        </w:rPr>
        <w:t>A</w:t>
      </w:r>
      <w:proofErr w:type="spellEnd"/>
      <w:r w:rsidRPr="00FC116C">
        <w:rPr>
          <w:rFonts w:cs="Times New Roman"/>
        </w:rPr>
        <w:t xml:space="preserve"> iránymutatás</w:t>
      </w:r>
      <w:r>
        <w:rPr>
          <w:rFonts w:cs="Times New Roman"/>
        </w:rPr>
        <w:t>ban meghatározott esetekben – harmadik országok felügyeletei közötti információcsere, tudásmegosztás történik</w:t>
      </w:r>
      <w:r w:rsidR="00D63395">
        <w:rPr>
          <w:rFonts w:cs="Times New Roman"/>
        </w:rPr>
        <w:t>. A</w:t>
      </w:r>
      <w:r w:rsidR="00470DAB">
        <w:rPr>
          <w:rFonts w:cs="Times New Roman"/>
        </w:rPr>
        <w:t xml:space="preserve">z </w:t>
      </w:r>
      <w:proofErr w:type="spellStart"/>
      <w:r w:rsidR="00470DAB">
        <w:rPr>
          <w:rFonts w:cs="Times New Roman"/>
        </w:rPr>
        <w:t>AML</w:t>
      </w:r>
      <w:proofErr w:type="spellEnd"/>
      <w:r w:rsidR="00470DAB">
        <w:rPr>
          <w:rFonts w:cs="Times New Roman"/>
        </w:rPr>
        <w:t>/</w:t>
      </w:r>
      <w:proofErr w:type="spellStart"/>
      <w:r w:rsidR="00470DAB">
        <w:rPr>
          <w:rFonts w:cs="Times New Roman"/>
        </w:rPr>
        <w:t>CFT</w:t>
      </w:r>
      <w:proofErr w:type="spellEnd"/>
      <w:r w:rsidR="00470DAB">
        <w:rPr>
          <w:rFonts w:cs="Times New Roman"/>
        </w:rPr>
        <w:t xml:space="preserve"> </w:t>
      </w:r>
      <w:r w:rsidR="00D63395" w:rsidRPr="00DB03D4">
        <w:t>kollégium mellett működő külföldi érintettségű csoport</w:t>
      </w:r>
      <w:r w:rsidR="00D63395">
        <w:t xml:space="preserve">tagok esetében a </w:t>
      </w:r>
      <w:r w:rsidR="00FF6A8B" w:rsidRPr="00FF6A8B">
        <w:rPr>
          <w:rFonts w:cs="Times New Roman"/>
        </w:rPr>
        <w:t xml:space="preserve">csoportirányítás meglétét és az ehhez társuló kollégiumi visszajelzések rendszerét </w:t>
      </w:r>
      <w:r w:rsidR="00D63395">
        <w:rPr>
          <w:rFonts w:cs="Times New Roman"/>
        </w:rPr>
        <w:t xml:space="preserve">az MNB </w:t>
      </w:r>
      <w:r w:rsidR="00FF6A8B" w:rsidRPr="00FF6A8B">
        <w:rPr>
          <w:rFonts w:cs="Times New Roman"/>
        </w:rPr>
        <w:t>kockázatcsökkentő tényezőként értékel</w:t>
      </w:r>
      <w:r w:rsidR="00FF6A8B">
        <w:rPr>
          <w:rFonts w:cs="Times New Roman"/>
        </w:rPr>
        <w:t>i</w:t>
      </w:r>
      <w:r>
        <w:rPr>
          <w:rFonts w:cs="Times New Roman"/>
        </w:rPr>
        <w:t xml:space="preserve">, így az alszektor inherens kockázata </w:t>
      </w:r>
      <w:r w:rsidR="00751F37">
        <w:rPr>
          <w:rFonts w:cs="Times New Roman"/>
        </w:rPr>
        <w:t>J</w:t>
      </w:r>
      <w:r>
        <w:rPr>
          <w:rFonts w:cs="Times New Roman"/>
        </w:rPr>
        <w:t xml:space="preserve">elentősnek </w:t>
      </w:r>
      <w:r w:rsidR="00FF6A8B">
        <w:rPr>
          <w:rFonts w:cs="Times New Roman"/>
        </w:rPr>
        <w:t>tekintendő</w:t>
      </w:r>
      <w:r>
        <w:rPr>
          <w:rFonts w:cs="Times New Roman"/>
        </w:rPr>
        <w:t xml:space="preserve">. </w:t>
      </w:r>
      <w:r w:rsidR="00DB03D4">
        <w:t xml:space="preserve">Az MNB-nek az inherens kockázat eltérítését megalapozó információról tudomása nincsen, így az </w:t>
      </w:r>
      <w:r w:rsidR="00DB03D4" w:rsidRPr="009F3A30">
        <w:t>inherens kockázata</w:t>
      </w:r>
      <w:r w:rsidR="00DB03D4">
        <w:t xml:space="preserve"> a Fióktelep alszektornak</w:t>
      </w:r>
      <w:r w:rsidR="00DB03D4" w:rsidRPr="009F3A30">
        <w:t xml:space="preserve"> megegyezik a maradványkockázattal, amely Jelentős.</w:t>
      </w:r>
    </w:p>
    <w:tbl>
      <w:tblPr>
        <w:tblW w:w="2740" w:type="dxa"/>
        <w:tblCellMar>
          <w:left w:w="70" w:type="dxa"/>
          <w:right w:w="70" w:type="dxa"/>
        </w:tblCellMar>
        <w:tblLook w:val="04A0" w:firstRow="1" w:lastRow="0" w:firstColumn="1" w:lastColumn="0" w:noHBand="0" w:noVBand="1"/>
      </w:tblPr>
      <w:tblGrid>
        <w:gridCol w:w="1780"/>
        <w:gridCol w:w="960"/>
      </w:tblGrid>
      <w:tr w:rsidR="00DB03D4" w:rsidRPr="00A07F4E" w14:paraId="4183EA02" w14:textId="77777777" w:rsidTr="00300DCA">
        <w:trPr>
          <w:trHeight w:val="300"/>
        </w:trPr>
        <w:tc>
          <w:tcPr>
            <w:tcW w:w="1780" w:type="dxa"/>
            <w:tcBorders>
              <w:top w:val="nil"/>
              <w:left w:val="nil"/>
              <w:bottom w:val="nil"/>
              <w:right w:val="nil"/>
            </w:tcBorders>
            <w:shd w:val="clear" w:color="auto" w:fill="auto"/>
            <w:noWrap/>
            <w:vAlign w:val="center"/>
            <w:hideMark/>
          </w:tcPr>
          <w:p w14:paraId="615CDC65" w14:textId="77777777" w:rsidR="00DB03D4" w:rsidRPr="00A07F4E" w:rsidRDefault="00DB03D4" w:rsidP="00300DCA">
            <w:pPr>
              <w:spacing w:after="0" w:line="240" w:lineRule="auto"/>
              <w:jc w:val="center"/>
              <w:rPr>
                <w:rFonts w:eastAsia="Times New Roman" w:cs="Calibri"/>
                <w:b/>
                <w:bCs/>
                <w:color w:val="000000"/>
                <w:sz w:val="16"/>
                <w:szCs w:val="16"/>
              </w:rPr>
            </w:pPr>
            <w:r w:rsidRPr="00A07F4E">
              <w:rPr>
                <w:rFonts w:eastAsia="Times New Roman" w:cs="Calibri"/>
                <w:b/>
                <w:bCs/>
                <w:color w:val="000000"/>
                <w:sz w:val="16"/>
                <w:szCs w:val="16"/>
              </w:rPr>
              <w:t>Inherens kockázat:</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27FF26C" w14:textId="77777777" w:rsidR="00DB03D4" w:rsidRPr="00A07F4E" w:rsidRDefault="00DB03D4" w:rsidP="00300DCA">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Jelentős</w:t>
            </w:r>
          </w:p>
        </w:tc>
      </w:tr>
      <w:tr w:rsidR="00DB03D4" w:rsidRPr="00A07F4E" w14:paraId="613EEA6F" w14:textId="77777777" w:rsidTr="00300DCA">
        <w:trPr>
          <w:trHeight w:val="300"/>
        </w:trPr>
        <w:tc>
          <w:tcPr>
            <w:tcW w:w="1780" w:type="dxa"/>
            <w:tcBorders>
              <w:top w:val="nil"/>
              <w:left w:val="nil"/>
              <w:bottom w:val="nil"/>
              <w:right w:val="nil"/>
            </w:tcBorders>
            <w:shd w:val="clear" w:color="auto" w:fill="auto"/>
            <w:noWrap/>
            <w:vAlign w:val="center"/>
            <w:hideMark/>
          </w:tcPr>
          <w:p w14:paraId="7CB52138" w14:textId="77777777" w:rsidR="00DB03D4" w:rsidRPr="00A07F4E" w:rsidRDefault="00DB03D4" w:rsidP="00300DCA">
            <w:pPr>
              <w:spacing w:after="0" w:line="240" w:lineRule="auto"/>
              <w:jc w:val="center"/>
              <w:rPr>
                <w:rFonts w:eastAsia="Times New Roman" w:cs="Calibri"/>
                <w:b/>
                <w:bCs/>
                <w:color w:val="000000"/>
                <w:sz w:val="16"/>
                <w:szCs w:val="16"/>
              </w:rPr>
            </w:pPr>
            <w:r w:rsidRPr="00A07F4E">
              <w:rPr>
                <w:rFonts w:cs="Calibri"/>
                <w:b/>
                <w:bCs/>
                <w:color w:val="000000"/>
                <w:sz w:val="16"/>
                <w:szCs w:val="16"/>
              </w:rPr>
              <w:t>Maradványkockázat:</w:t>
            </w:r>
          </w:p>
        </w:tc>
        <w:tc>
          <w:tcPr>
            <w:tcW w:w="960" w:type="dxa"/>
            <w:tcBorders>
              <w:top w:val="nil"/>
              <w:left w:val="single" w:sz="4" w:space="0" w:color="auto"/>
              <w:bottom w:val="single" w:sz="4" w:space="0" w:color="auto"/>
              <w:right w:val="single" w:sz="4" w:space="0" w:color="auto"/>
            </w:tcBorders>
            <w:shd w:val="clear" w:color="000000" w:fill="FFC000"/>
            <w:noWrap/>
            <w:vAlign w:val="center"/>
            <w:hideMark/>
          </w:tcPr>
          <w:p w14:paraId="4BC86105" w14:textId="77777777" w:rsidR="00DB03D4" w:rsidRPr="00A07F4E" w:rsidRDefault="00DB03D4" w:rsidP="00300DCA">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Jelentős</w:t>
            </w:r>
          </w:p>
        </w:tc>
      </w:tr>
    </w:tbl>
    <w:p w14:paraId="41E6767E" w14:textId="77777777" w:rsidR="00DB03D4" w:rsidRPr="00A07F4E" w:rsidRDefault="00DB03D4" w:rsidP="00666159"/>
    <w:p w14:paraId="3A1336A1" w14:textId="77777777" w:rsidR="00D65406" w:rsidRPr="00A07F4E" w:rsidRDefault="00D65406" w:rsidP="00A07F4E">
      <w:pPr>
        <w:pStyle w:val="Cmsor3"/>
        <w:numPr>
          <w:ilvl w:val="0"/>
          <w:numId w:val="69"/>
        </w:numPr>
        <w:ind w:left="567" w:hanging="283"/>
      </w:pPr>
      <w:bookmarkStart w:id="34" w:name="_Toc109906013"/>
      <w:r w:rsidRPr="00A07F4E">
        <w:t>Maradványkockázat</w:t>
      </w:r>
      <w:bookmarkEnd w:id="34"/>
    </w:p>
    <w:p w14:paraId="0E239E1A" w14:textId="547A9664" w:rsidR="00433DF0" w:rsidRPr="00A07F4E" w:rsidRDefault="00D65406" w:rsidP="008347D1">
      <w:r w:rsidRPr="00A07F4E">
        <w:t>A</w:t>
      </w:r>
      <w:r w:rsidR="00E757E7">
        <w:t xml:space="preserve">z MNB </w:t>
      </w:r>
      <w:r w:rsidRPr="00A07F4E">
        <w:t xml:space="preserve">megítélése szerint az egyes hitelintézeteknél alkalmazott ellenőrzések hatékonyan csökkentették az inherens kockázatokat, </w:t>
      </w:r>
      <w:r w:rsidR="0067124E" w:rsidRPr="009F3A30">
        <w:t>azonban</w:t>
      </w:r>
      <w:r w:rsidR="006813E2" w:rsidRPr="00A07F4E">
        <w:t xml:space="preserve"> </w:t>
      </w:r>
      <w:r w:rsidRPr="00A07F4E">
        <w:t>a maradványkockázat</w:t>
      </w:r>
      <w:r w:rsidR="00E757E7">
        <w:t>ot –</w:t>
      </w:r>
      <w:r w:rsidR="00E757E7" w:rsidRPr="00A07F4E">
        <w:t xml:space="preserve"> </w:t>
      </w:r>
      <w:r w:rsidR="006813E2" w:rsidRPr="00A07F4E">
        <w:t>számos vizsgálatnál rendszeresen felmerülő kockázat miatt</w:t>
      </w:r>
      <w:r w:rsidR="00E757E7">
        <w:t xml:space="preserve"> –</w:t>
      </w:r>
      <w:r w:rsidR="006813E2" w:rsidRPr="00A07F4E">
        <w:t xml:space="preserve"> </w:t>
      </w:r>
      <w:r w:rsidR="003150D9" w:rsidRPr="00A07F4E">
        <w:t>még nem volt indokolt csökkenteni</w:t>
      </w:r>
      <w:r w:rsidR="00E4050C">
        <w:t>, így a maradványkockázat értéke megegyezik a szektor inherens kockázatának értékével, az Nagyon jelentős</w:t>
      </w:r>
      <w:r w:rsidR="00433DF0" w:rsidRPr="00A07F4E">
        <w:t xml:space="preserve">: </w:t>
      </w:r>
    </w:p>
    <w:tbl>
      <w:tblPr>
        <w:tblpPr w:leftFromText="141" w:rightFromText="141" w:vertAnchor="text" w:horzAnchor="margin" w:tblpXSpec="center" w:tblpY="57"/>
        <w:tblW w:w="3089" w:type="dxa"/>
        <w:tblCellMar>
          <w:left w:w="70" w:type="dxa"/>
          <w:right w:w="70" w:type="dxa"/>
        </w:tblCellMar>
        <w:tblLook w:val="04A0" w:firstRow="1" w:lastRow="0" w:firstColumn="1" w:lastColumn="0" w:noHBand="0" w:noVBand="1"/>
      </w:tblPr>
      <w:tblGrid>
        <w:gridCol w:w="1649"/>
        <w:gridCol w:w="1440"/>
      </w:tblGrid>
      <w:tr w:rsidR="002C3F0B" w:rsidRPr="00A07F4E" w14:paraId="6710F4DA" w14:textId="77777777" w:rsidTr="002C3F0B">
        <w:trPr>
          <w:trHeight w:val="300"/>
        </w:trPr>
        <w:tc>
          <w:tcPr>
            <w:tcW w:w="1649" w:type="dxa"/>
            <w:tcBorders>
              <w:top w:val="nil"/>
              <w:left w:val="nil"/>
              <w:bottom w:val="nil"/>
              <w:right w:val="nil"/>
            </w:tcBorders>
            <w:shd w:val="clear" w:color="auto" w:fill="auto"/>
            <w:noWrap/>
            <w:vAlign w:val="center"/>
            <w:hideMark/>
          </w:tcPr>
          <w:p w14:paraId="0774F63C" w14:textId="77777777" w:rsidR="002C3F0B" w:rsidRPr="00A07F4E" w:rsidRDefault="002C3F0B" w:rsidP="002C3F0B">
            <w:pPr>
              <w:spacing w:after="0" w:line="240" w:lineRule="auto"/>
              <w:jc w:val="center"/>
              <w:rPr>
                <w:rFonts w:eastAsia="Times New Roman" w:cs="Times New Roman"/>
                <w:b/>
                <w:bCs/>
                <w:color w:val="000000"/>
                <w:sz w:val="18"/>
                <w:szCs w:val="18"/>
              </w:rPr>
            </w:pPr>
            <w:r w:rsidRPr="00A07F4E">
              <w:rPr>
                <w:rFonts w:eastAsia="Times New Roman" w:cs="Times New Roman"/>
                <w:b/>
                <w:bCs/>
                <w:color w:val="000000"/>
                <w:sz w:val="18"/>
                <w:szCs w:val="18"/>
              </w:rPr>
              <w:t>Maradványkockázat</w:t>
            </w:r>
          </w:p>
        </w:tc>
        <w:tc>
          <w:tcPr>
            <w:tcW w:w="1440" w:type="dxa"/>
            <w:tcBorders>
              <w:top w:val="single" w:sz="4" w:space="0" w:color="auto"/>
              <w:left w:val="single" w:sz="4" w:space="0" w:color="auto"/>
              <w:bottom w:val="single" w:sz="4" w:space="0" w:color="auto"/>
              <w:right w:val="single" w:sz="4" w:space="0" w:color="auto"/>
            </w:tcBorders>
            <w:shd w:val="clear" w:color="000000" w:fill="FF603B"/>
            <w:noWrap/>
            <w:vAlign w:val="center"/>
            <w:hideMark/>
          </w:tcPr>
          <w:p w14:paraId="2D170469" w14:textId="77777777" w:rsidR="002C3F0B" w:rsidRPr="00A07F4E" w:rsidRDefault="002C3F0B" w:rsidP="002C3F0B">
            <w:pPr>
              <w:spacing w:after="0" w:line="240" w:lineRule="auto"/>
              <w:jc w:val="center"/>
              <w:rPr>
                <w:rFonts w:eastAsia="Times New Roman" w:cs="Times New Roman"/>
                <w:sz w:val="18"/>
                <w:szCs w:val="18"/>
              </w:rPr>
            </w:pPr>
            <w:r w:rsidRPr="00A07F4E">
              <w:rPr>
                <w:rFonts w:eastAsia="Times New Roman" w:cs="Times New Roman"/>
                <w:sz w:val="18"/>
                <w:szCs w:val="18"/>
              </w:rPr>
              <w:t>Nagyon jelentős</w:t>
            </w:r>
          </w:p>
        </w:tc>
      </w:tr>
    </w:tbl>
    <w:p w14:paraId="108E3EB1" w14:textId="77777777" w:rsidR="00865ED2" w:rsidRPr="00A07F4E" w:rsidRDefault="00865ED2" w:rsidP="008347D1"/>
    <w:p w14:paraId="11F2F458" w14:textId="5FE9BB6A" w:rsidR="001873B4" w:rsidRPr="00A07F4E" w:rsidRDefault="001873B4" w:rsidP="008324F3">
      <w:pPr>
        <w:pStyle w:val="Cmsor2"/>
      </w:pPr>
      <w:bookmarkStart w:id="35" w:name="_Toc109906014"/>
      <w:r w:rsidRPr="00A07F4E">
        <w:t>Pénzforgalmi intézményi szektor</w:t>
      </w:r>
      <w:r w:rsidR="00C05E03">
        <w:rPr>
          <w:rStyle w:val="Lbjegyzet-hivatkozs"/>
        </w:rPr>
        <w:footnoteReference w:id="4"/>
      </w:r>
      <w:bookmarkEnd w:id="35"/>
    </w:p>
    <w:p w14:paraId="30949B60" w14:textId="77777777" w:rsidR="001873B4" w:rsidRPr="00A07F4E" w:rsidRDefault="001873B4" w:rsidP="00A07F4E">
      <w:pPr>
        <w:pStyle w:val="Cmsor3"/>
        <w:numPr>
          <w:ilvl w:val="0"/>
          <w:numId w:val="92"/>
        </w:numPr>
      </w:pPr>
      <w:bookmarkStart w:id="36" w:name="_Toc109906015"/>
      <w:r w:rsidRPr="00A07F4E">
        <w:t>A szektor méretére, tevékenységi körére és összetettségére vonatkozó információk összesített formában</w:t>
      </w:r>
      <w:bookmarkEnd w:id="36"/>
    </w:p>
    <w:p w14:paraId="50198FAF" w14:textId="0F140F67" w:rsidR="001873B4" w:rsidRDefault="001873B4" w:rsidP="001873B4">
      <w:r w:rsidRPr="00A07F4E">
        <w:t>Magyarországon tevékenységet folytató pénzforgalmi intézmények száma</w:t>
      </w:r>
      <w:r w:rsidR="00992153" w:rsidRPr="00A07F4E">
        <w:t xml:space="preserve"> </w:t>
      </w:r>
      <w:r w:rsidR="008704FD" w:rsidRPr="00FC37B3">
        <w:t>1</w:t>
      </w:r>
      <w:r w:rsidR="00467360">
        <w:t>5</w:t>
      </w:r>
      <w:r w:rsidR="00506BD2" w:rsidRPr="00FC37B3">
        <w:t xml:space="preserve">-20 közötti </w:t>
      </w:r>
      <w:r w:rsidR="001B7C24" w:rsidRPr="00FC37B3">
        <w:t>a szektorban</w:t>
      </w:r>
      <w:r w:rsidR="008A34DF" w:rsidRPr="00FC37B3">
        <w:t>,</w:t>
      </w:r>
      <w:r w:rsidR="008A34DF" w:rsidRPr="00467360">
        <w:t xml:space="preserve"> ebből</w:t>
      </w:r>
      <w:r w:rsidR="008A34DF" w:rsidRPr="00A07F4E">
        <w:t xml:space="preserve"> fióktelepi formában működő pénzforgalmi intézmények száma</w:t>
      </w:r>
      <w:r w:rsidR="001B7C24" w:rsidRPr="00A07F4E">
        <w:t xml:space="preserve"> </w:t>
      </w:r>
      <w:r w:rsidR="008704FD" w:rsidRPr="00FC37B3">
        <w:t>3</w:t>
      </w:r>
      <w:r w:rsidR="00506BD2" w:rsidRPr="00FC37B3">
        <w:t xml:space="preserve"> és 5 közötti</w:t>
      </w:r>
      <w:r w:rsidR="001B7C24" w:rsidRPr="00FC37B3">
        <w:t>.</w:t>
      </w:r>
      <w:r w:rsidRPr="00A07F4E">
        <w:t xml:space="preserve"> </w:t>
      </w:r>
      <w:r w:rsidR="008A34DF" w:rsidRPr="00A07F4E">
        <w:t xml:space="preserve">Tevékenységi </w:t>
      </w:r>
      <w:r w:rsidR="001B7C24" w:rsidRPr="00A07F4E">
        <w:t xml:space="preserve">köröket </w:t>
      </w:r>
      <w:r w:rsidR="008A34DF" w:rsidRPr="00A07F4E">
        <w:t>tekintve</w:t>
      </w:r>
      <w:r w:rsidR="000A1827" w:rsidRPr="00A07F4E">
        <w:t xml:space="preserve"> a</w:t>
      </w:r>
      <w:r w:rsidR="00A37D9D">
        <w:t xml:space="preserve"> szolgáltatók </w:t>
      </w:r>
      <w:r w:rsidR="008A34DF" w:rsidRPr="00A07F4E">
        <w:t>pénzforgalmi szolgáltatásokkal, fizetési számlá</w:t>
      </w:r>
      <w:r w:rsidR="00077C4E" w:rsidRPr="00A07F4E">
        <w:t>kk</w:t>
      </w:r>
      <w:r w:rsidR="008A34DF" w:rsidRPr="00A07F4E">
        <w:t xml:space="preserve">al kapcsolatos tevékenységet látnak el. </w:t>
      </w:r>
    </w:p>
    <w:p w14:paraId="3B77E161" w14:textId="0CF81AA2" w:rsidR="008704FD" w:rsidRDefault="008704FD" w:rsidP="008324F3">
      <w:pPr>
        <w:spacing w:before="120" w:after="120"/>
      </w:pPr>
      <w:r>
        <w:t>A hazánkban engedélyezett pénzforgalmi intézmények tevékenységi körét tekintve lényegében négy csoportra oszthatóak:</w:t>
      </w:r>
    </w:p>
    <w:p w14:paraId="010E13F2" w14:textId="2E911ED7" w:rsidR="008704FD" w:rsidRDefault="008704FD" w:rsidP="008324F3">
      <w:pPr>
        <w:pStyle w:val="Listaszerbekezds"/>
        <w:numPr>
          <w:ilvl w:val="0"/>
          <w:numId w:val="236"/>
        </w:numPr>
        <w:spacing w:before="60" w:after="60" w:line="240" w:lineRule="auto"/>
      </w:pPr>
      <w:r>
        <w:t>fizetési számlát vezető és a kapcsolódó szolgáltatásokat végző pénzforgalmi intézmény;</w:t>
      </w:r>
    </w:p>
    <w:p w14:paraId="141FDCE5" w14:textId="0F9F95D2" w:rsidR="008704FD" w:rsidRDefault="008704FD" w:rsidP="008324F3">
      <w:pPr>
        <w:pStyle w:val="Listaszerbekezds"/>
        <w:numPr>
          <w:ilvl w:val="0"/>
          <w:numId w:val="236"/>
        </w:numPr>
        <w:spacing w:before="60" w:after="60" w:line="240" w:lineRule="auto"/>
      </w:pPr>
      <w:r>
        <w:t>elfogadási tevékenységet végző szolgáltatók (bankkártyaelfogadás, POS-telepítés);</w:t>
      </w:r>
    </w:p>
    <w:p w14:paraId="2569F697" w14:textId="0F8DB4E2" w:rsidR="008704FD" w:rsidRDefault="008704FD" w:rsidP="008324F3">
      <w:pPr>
        <w:pStyle w:val="Listaszerbekezds"/>
        <w:numPr>
          <w:ilvl w:val="0"/>
          <w:numId w:val="236"/>
        </w:numPr>
        <w:spacing w:before="60" w:after="60" w:line="240" w:lineRule="auto"/>
      </w:pPr>
      <w:r>
        <w:t xml:space="preserve">az új típusú innovatív pénzforgalmi szolgáltatásokat nyújtó </w:t>
      </w:r>
      <w:r w:rsidR="002342A8" w:rsidRPr="002342A8">
        <w:t>számlainformáció</w:t>
      </w:r>
      <w:r w:rsidR="00EB39F2">
        <w:t xml:space="preserve">s </w:t>
      </w:r>
      <w:r w:rsidR="0057023C" w:rsidRPr="0057023C">
        <w:t>szolgáltat</w:t>
      </w:r>
      <w:r w:rsidR="0057023C">
        <w:t>ók (</w:t>
      </w:r>
      <w:proofErr w:type="spellStart"/>
      <w:r>
        <w:t>AISP</w:t>
      </w:r>
      <w:proofErr w:type="spellEnd"/>
      <w:r w:rsidR="0057023C">
        <w:t>-ok)</w:t>
      </w:r>
      <w:r>
        <w:t xml:space="preserve"> és </w:t>
      </w:r>
      <w:r w:rsidR="0057023C" w:rsidRPr="0057023C">
        <w:t>fizetés-kezdeményezési szolgáltat</w:t>
      </w:r>
      <w:r w:rsidR="0057023C">
        <w:t>ók (</w:t>
      </w:r>
      <w:proofErr w:type="spellStart"/>
      <w:r>
        <w:t>PISP</w:t>
      </w:r>
      <w:proofErr w:type="spellEnd"/>
      <w:r>
        <w:t>-ek</w:t>
      </w:r>
      <w:r w:rsidR="0057023C">
        <w:t>)</w:t>
      </w:r>
      <w:r>
        <w:t>;</w:t>
      </w:r>
    </w:p>
    <w:p w14:paraId="2DFA5869" w14:textId="45DD98B8" w:rsidR="008704FD" w:rsidRDefault="008704FD" w:rsidP="008324F3">
      <w:pPr>
        <w:pStyle w:val="Listaszerbekezds"/>
        <w:numPr>
          <w:ilvl w:val="0"/>
          <w:numId w:val="236"/>
        </w:numPr>
        <w:spacing w:before="60" w:after="60" w:line="240" w:lineRule="auto"/>
      </w:pPr>
      <w:r>
        <w:t>pénzforgalmi szolgáltatások végzése</w:t>
      </w:r>
      <w:r w:rsidR="004D51C1">
        <w:t>,</w:t>
      </w:r>
      <w:r>
        <w:t xml:space="preserve"> kizárólag SZÉP kártyára korlátozva.</w:t>
      </w:r>
    </w:p>
    <w:p w14:paraId="49DB2850" w14:textId="784363FD" w:rsidR="00741494" w:rsidRPr="00A07F4E" w:rsidRDefault="00741494" w:rsidP="008324F3">
      <w:pPr>
        <w:spacing w:before="120" w:after="120"/>
      </w:pPr>
      <w:r w:rsidRPr="00741494">
        <w:lastRenderedPageBreak/>
        <w:t xml:space="preserve">A </w:t>
      </w:r>
      <w:r>
        <w:t>fent megjelölt szolgáltatók közül azok</w:t>
      </w:r>
      <w:r w:rsidR="004D51C1">
        <w:t xml:space="preserve"> kapcsán</w:t>
      </w:r>
      <w:r w:rsidRPr="00741494">
        <w:t>, amelyek kizárólag munkavállalói béren kívüli juttatásokkal kapcsolatban (SZÉP kártya) nyújtanak pénzforgalmi szolgáltatásokat</w:t>
      </w:r>
      <w:r w:rsidR="004D51C1">
        <w:t>,</w:t>
      </w:r>
      <w:r w:rsidRPr="00741494">
        <w:t xml:space="preserve"> </w:t>
      </w:r>
      <w:r w:rsidR="00FE7E03">
        <w:t xml:space="preserve">jelenleg </w:t>
      </w:r>
      <w:r w:rsidRPr="00741494">
        <w:t>nem i</w:t>
      </w:r>
      <w:r w:rsidR="004D51C1">
        <w:t>smertek</w:t>
      </w:r>
      <w:r w:rsidRPr="00741494">
        <w:t xml:space="preserve"> ML/</w:t>
      </w:r>
      <w:proofErr w:type="spellStart"/>
      <w:r w:rsidRPr="00741494">
        <w:t>TF</w:t>
      </w:r>
      <w:proofErr w:type="spellEnd"/>
      <w:r w:rsidRPr="00741494">
        <w:t xml:space="preserve"> kockázatok</w:t>
      </w:r>
      <w:r>
        <w:t>, amelyre tekintettel e</w:t>
      </w:r>
      <w:r w:rsidRPr="00741494">
        <w:t xml:space="preserve">zen szolgáltatókat a jogalkotó kivette a </w:t>
      </w:r>
      <w:proofErr w:type="spellStart"/>
      <w:r w:rsidRPr="00741494">
        <w:t>Pmt</w:t>
      </w:r>
      <w:proofErr w:type="spellEnd"/>
      <w:r w:rsidRPr="00741494">
        <w:t>. hatálya alól.</w:t>
      </w:r>
      <w:r>
        <w:rPr>
          <w:rStyle w:val="Lbjegyzet-hivatkozs"/>
        </w:rPr>
        <w:footnoteReference w:id="5"/>
      </w:r>
    </w:p>
    <w:p w14:paraId="7FAA164B" w14:textId="15D8C0DF" w:rsidR="00504A60" w:rsidRPr="00A07F4E" w:rsidRDefault="00504A60" w:rsidP="00504A60">
      <w:pPr>
        <w:spacing w:before="120" w:after="120"/>
        <w:rPr>
          <w:rFonts w:cs="Times New Roman"/>
        </w:rPr>
      </w:pPr>
      <w:r w:rsidRPr="00A07F4E">
        <w:rPr>
          <w:rFonts w:cs="Times New Roman"/>
        </w:rPr>
        <w:t xml:space="preserve">A pénzforgalmi </w:t>
      </w:r>
      <w:r w:rsidR="00AE3A9D">
        <w:rPr>
          <w:rFonts w:cs="Times New Roman"/>
        </w:rPr>
        <w:t xml:space="preserve">intézményi </w:t>
      </w:r>
      <w:r w:rsidRPr="00A07F4E">
        <w:rPr>
          <w:rFonts w:cs="Times New Roman"/>
        </w:rPr>
        <w:t xml:space="preserve">szektoron belül </w:t>
      </w:r>
      <w:r w:rsidR="0029295E">
        <w:rPr>
          <w:rFonts w:cs="Times New Roman"/>
        </w:rPr>
        <w:t xml:space="preserve">jelennek meg </w:t>
      </w:r>
      <w:r w:rsidR="00DA131E">
        <w:rPr>
          <w:rFonts w:cs="Times New Roman"/>
        </w:rPr>
        <w:t xml:space="preserve">az </w:t>
      </w:r>
      <w:proofErr w:type="spellStart"/>
      <w:r w:rsidR="00DA131E">
        <w:rPr>
          <w:rFonts w:cs="Times New Roman"/>
        </w:rPr>
        <w:t>MVTS</w:t>
      </w:r>
      <w:proofErr w:type="spellEnd"/>
      <w:r w:rsidR="0029295E">
        <w:rPr>
          <w:rFonts w:cs="Times New Roman"/>
        </w:rPr>
        <w:t xml:space="preserve"> szolgáltatók</w:t>
      </w:r>
      <w:r w:rsidR="000C7CA3" w:rsidRPr="00DA131E">
        <w:rPr>
          <w:rFonts w:cs="Times New Roman"/>
        </w:rPr>
        <w:t>,</w:t>
      </w:r>
      <w:r w:rsidR="000C7CA3" w:rsidRPr="00A07F4E">
        <w:rPr>
          <w:rFonts w:cs="Times New Roman"/>
        </w:rPr>
        <w:t xml:space="preserve"> </w:t>
      </w:r>
      <w:r w:rsidR="000C7CA3" w:rsidRPr="009F3A30">
        <w:t>mint</w:t>
      </w:r>
      <w:r w:rsidR="000C7CA3" w:rsidRPr="00A07F4E">
        <w:rPr>
          <w:rFonts w:cs="Times New Roman"/>
        </w:rPr>
        <w:t xml:space="preserve"> </w:t>
      </w:r>
      <w:r w:rsidR="000C7CA3" w:rsidRPr="009F3A30">
        <w:t>Magyarországon jelen lévő pénzforgalmi közvetítők</w:t>
      </w:r>
      <w:r w:rsidR="0029295E">
        <w:t xml:space="preserve">, akik </w:t>
      </w:r>
      <w:r w:rsidR="00F92164">
        <w:t xml:space="preserve">általánosságban </w:t>
      </w:r>
      <w:r w:rsidR="0029295E">
        <w:t xml:space="preserve">külföldön bejegyzett </w:t>
      </w:r>
      <w:r w:rsidR="00AE3A9D">
        <w:t>szolgáltatók</w:t>
      </w:r>
      <w:r w:rsidR="0029295E">
        <w:t xml:space="preserve"> megbízásából végzik tevékenységüket</w:t>
      </w:r>
      <w:r w:rsidRPr="00A07F4E">
        <w:rPr>
          <w:rFonts w:cs="Times New Roman"/>
        </w:rPr>
        <w:t xml:space="preserve">. </w:t>
      </w:r>
      <w:r w:rsidR="00252B87">
        <w:rPr>
          <w:rFonts w:cs="Times New Roman"/>
        </w:rPr>
        <w:t xml:space="preserve">Ezen esetekben </w:t>
      </w:r>
      <w:r w:rsidRPr="00A07F4E">
        <w:rPr>
          <w:rFonts w:cs="Times New Roman"/>
        </w:rPr>
        <w:t xml:space="preserve">a küldő fél pénzt ad a szolgáltató </w:t>
      </w:r>
      <w:r w:rsidR="00AE3A9D">
        <w:rPr>
          <w:rFonts w:cs="Times New Roman"/>
        </w:rPr>
        <w:t>közvetítője</w:t>
      </w:r>
      <w:r w:rsidR="00AE3A9D" w:rsidRPr="00A07F4E">
        <w:rPr>
          <w:rFonts w:cs="Times New Roman"/>
        </w:rPr>
        <w:t xml:space="preserve"> </w:t>
      </w:r>
      <w:r w:rsidRPr="00A07F4E">
        <w:rPr>
          <w:rFonts w:cs="Times New Roman"/>
        </w:rPr>
        <w:t xml:space="preserve">számára, hogy azt egy másik </w:t>
      </w:r>
      <w:r w:rsidR="008F5FF1">
        <w:rPr>
          <w:rFonts w:cs="Times New Roman"/>
        </w:rPr>
        <w:t>közvetítője</w:t>
      </w:r>
      <w:r w:rsidR="008F5FF1" w:rsidRPr="00A07F4E">
        <w:rPr>
          <w:rFonts w:cs="Times New Roman"/>
        </w:rPr>
        <w:t xml:space="preserve"> </w:t>
      </w:r>
      <w:r w:rsidRPr="00A07F4E">
        <w:rPr>
          <w:rFonts w:cs="Times New Roman"/>
        </w:rPr>
        <w:t xml:space="preserve">útján </w:t>
      </w:r>
      <w:r w:rsidR="008F5FF1">
        <w:rPr>
          <w:rFonts w:cs="Times New Roman"/>
        </w:rPr>
        <w:t xml:space="preserve">elküldje </w:t>
      </w:r>
      <w:r w:rsidRPr="00A07F4E">
        <w:rPr>
          <w:rFonts w:cs="Times New Roman"/>
        </w:rPr>
        <w:t>a kedvezményezett részére.</w:t>
      </w:r>
    </w:p>
    <w:p w14:paraId="3B2646C3" w14:textId="3A572FDE" w:rsidR="006620B9" w:rsidRDefault="00F92164" w:rsidP="00504A60">
      <w:pPr>
        <w:spacing w:before="120" w:after="120"/>
      </w:pPr>
      <w:r>
        <w:t xml:space="preserve">A szektoron belül </w:t>
      </w:r>
      <w:r w:rsidR="006620B9" w:rsidRPr="009F3A30">
        <w:t>alszektort képez</w:t>
      </w:r>
      <w:r w:rsidR="00790D04">
        <w:t xml:space="preserve"> a </w:t>
      </w:r>
      <w:r w:rsidR="00790D04">
        <w:rPr>
          <w:rFonts w:cs="Times New Roman"/>
        </w:rPr>
        <w:t>f</w:t>
      </w:r>
      <w:r w:rsidR="00790D04" w:rsidRPr="00EB6441">
        <w:rPr>
          <w:rFonts w:cs="Times New Roman"/>
        </w:rPr>
        <w:t>izetési számla vezetés tevékenységet nem végző pénzforgalmi intézmény</w:t>
      </w:r>
      <w:r w:rsidR="00790D04">
        <w:rPr>
          <w:rFonts w:cs="Times New Roman"/>
        </w:rPr>
        <w:t xml:space="preserve">i alszektor, amelyen belül két </w:t>
      </w:r>
      <w:proofErr w:type="spellStart"/>
      <w:r w:rsidR="00790D04">
        <w:rPr>
          <w:rFonts w:cs="Times New Roman"/>
        </w:rPr>
        <w:t>al</w:t>
      </w:r>
      <w:proofErr w:type="spellEnd"/>
      <w:r w:rsidR="00790D04">
        <w:rPr>
          <w:rFonts w:cs="Times New Roman"/>
        </w:rPr>
        <w:t>-alszektor található:</w:t>
      </w:r>
      <w:r w:rsidR="006620B9" w:rsidRPr="009F3A30">
        <w:t xml:space="preserve"> a </w:t>
      </w:r>
      <w:r w:rsidR="00076544" w:rsidRPr="0057023C">
        <w:t>fizetés-kezdeményezési szolgáltat</w:t>
      </w:r>
      <w:r w:rsidR="00076544">
        <w:t xml:space="preserve">ásokkal </w:t>
      </w:r>
      <w:r w:rsidR="006620B9" w:rsidRPr="009F3A30">
        <w:t>(</w:t>
      </w:r>
      <w:proofErr w:type="spellStart"/>
      <w:r w:rsidR="006620B9" w:rsidRPr="009F3A30">
        <w:t>PISP</w:t>
      </w:r>
      <w:proofErr w:type="spellEnd"/>
      <w:r w:rsidR="006620B9" w:rsidRPr="009F3A30">
        <w:t xml:space="preserve">) foglalkozó </w:t>
      </w:r>
      <w:r w:rsidR="0099487C" w:rsidRPr="009F3A30">
        <w:t xml:space="preserve">pénzforgalmi </w:t>
      </w:r>
      <w:r w:rsidR="006620B9" w:rsidRPr="009F3A30">
        <w:t>intézmények</w:t>
      </w:r>
      <w:r w:rsidR="00B6679D" w:rsidRPr="009F3A30">
        <w:t>, valamint</w:t>
      </w:r>
      <w:r w:rsidR="006620B9" w:rsidRPr="009F3A30">
        <w:t xml:space="preserve"> a </w:t>
      </w:r>
      <w:r w:rsidR="00076544">
        <w:t>számlainformációs</w:t>
      </w:r>
      <w:r w:rsidR="006620B9" w:rsidRPr="009F3A30">
        <w:t xml:space="preserve"> szolgáltatásokkal</w:t>
      </w:r>
      <w:r w:rsidR="00601BB6" w:rsidRPr="009F3A30">
        <w:t xml:space="preserve"> (</w:t>
      </w:r>
      <w:proofErr w:type="spellStart"/>
      <w:r w:rsidR="00601BB6" w:rsidRPr="009F3A30">
        <w:t>AISP</w:t>
      </w:r>
      <w:proofErr w:type="spellEnd"/>
      <w:r w:rsidR="00601BB6" w:rsidRPr="009F3A30">
        <w:t>)</w:t>
      </w:r>
      <w:r w:rsidR="006620B9" w:rsidRPr="009F3A30">
        <w:t xml:space="preserve"> foglalkozó </w:t>
      </w:r>
      <w:r w:rsidR="0099487C" w:rsidRPr="009F3A30">
        <w:t>pénzforgalmi intézmények.</w:t>
      </w:r>
      <w:r w:rsidR="0099487C" w:rsidRPr="00A07F4E">
        <w:t xml:space="preserve"> </w:t>
      </w:r>
    </w:p>
    <w:p w14:paraId="5063AF5F" w14:textId="77777777" w:rsidR="00ED3868" w:rsidRPr="00A07F4E" w:rsidRDefault="00ED3868" w:rsidP="00A07F4E">
      <w:pPr>
        <w:pStyle w:val="Cmsor3"/>
        <w:numPr>
          <w:ilvl w:val="0"/>
          <w:numId w:val="92"/>
        </w:numPr>
      </w:pPr>
      <w:bookmarkStart w:id="37" w:name="_Toc106108242"/>
      <w:bookmarkStart w:id="38" w:name="_Toc106108355"/>
      <w:bookmarkStart w:id="39" w:name="_Toc106120836"/>
      <w:bookmarkStart w:id="40" w:name="_Toc106183443"/>
      <w:bookmarkStart w:id="41" w:name="_Toc106192393"/>
      <w:bookmarkStart w:id="42" w:name="_Toc106197989"/>
      <w:bookmarkStart w:id="43" w:name="_Toc106198635"/>
      <w:bookmarkStart w:id="44" w:name="_Toc106201829"/>
      <w:bookmarkStart w:id="45" w:name="_Toc106869538"/>
      <w:bookmarkStart w:id="46" w:name="_Toc107236403"/>
      <w:bookmarkStart w:id="47" w:name="_Toc107237311"/>
      <w:bookmarkStart w:id="48" w:name="_Toc107237636"/>
      <w:bookmarkStart w:id="49" w:name="_Toc109906016"/>
      <w:bookmarkEnd w:id="37"/>
      <w:bookmarkEnd w:id="38"/>
      <w:bookmarkEnd w:id="39"/>
      <w:bookmarkEnd w:id="40"/>
      <w:bookmarkEnd w:id="41"/>
      <w:bookmarkEnd w:id="42"/>
      <w:bookmarkEnd w:id="43"/>
      <w:bookmarkEnd w:id="44"/>
      <w:bookmarkEnd w:id="45"/>
      <w:bookmarkEnd w:id="46"/>
      <w:bookmarkEnd w:id="47"/>
      <w:bookmarkEnd w:id="48"/>
      <w:r w:rsidRPr="00A07F4E">
        <w:t>Inherens kockázatértékelés</w:t>
      </w:r>
      <w:bookmarkEnd w:id="49"/>
    </w:p>
    <w:p w14:paraId="0EB75F40" w14:textId="04693A7F" w:rsidR="002E3995" w:rsidRDefault="002E3995" w:rsidP="00A07F4E">
      <w:pPr>
        <w:pStyle w:val="Listaszerbekezds"/>
        <w:numPr>
          <w:ilvl w:val="1"/>
          <w:numId w:val="11"/>
        </w:numPr>
        <w:ind w:left="851" w:hanging="284"/>
      </w:pPr>
      <w:r w:rsidRPr="00A07F4E">
        <w:t xml:space="preserve">A </w:t>
      </w:r>
      <w:r w:rsidR="00AA2F22" w:rsidRPr="00A07F4E">
        <w:t xml:space="preserve">pénzforgalmi intézményi </w:t>
      </w:r>
      <w:r w:rsidRPr="00A07F4E">
        <w:t>szektorban rejlő ML/</w:t>
      </w:r>
      <w:proofErr w:type="spellStart"/>
      <w:r w:rsidRPr="00A07F4E">
        <w:t>TF</w:t>
      </w:r>
      <w:proofErr w:type="spellEnd"/>
      <w:r w:rsidRPr="00A07F4E">
        <w:t xml:space="preserve"> kockázati tényezők</w:t>
      </w:r>
    </w:p>
    <w:p w14:paraId="147BC573" w14:textId="1ABE0D21" w:rsidR="006C29FD" w:rsidRDefault="004B5834" w:rsidP="00767C29">
      <w:r w:rsidRPr="005679B6">
        <w:t xml:space="preserve">Az MNB a termékek/szolgáltatások </w:t>
      </w:r>
      <w:r>
        <w:t xml:space="preserve">és az értékesítési csatorna kockázatát Jelentősnek, </w:t>
      </w:r>
      <w:r w:rsidRPr="005679B6">
        <w:t xml:space="preserve">az ügyfelek kockázatát </w:t>
      </w:r>
      <w:r>
        <w:t xml:space="preserve">és a földrajzi kockázatokat </w:t>
      </w:r>
      <w:r w:rsidRPr="005679B6">
        <w:t>Mérsékelten jelentősnek értékelte.</w:t>
      </w:r>
      <w:r>
        <w:t xml:space="preserve"> </w:t>
      </w:r>
      <w:r w:rsidRPr="006C29FD">
        <w:t>Az ágazat értékelésénél figyelembevételre került a szolgáltatók csekély száma, illetve az is, hogy határon átnyúló tevékenység végzése a szektorra kevésbé jellemző.</w:t>
      </w:r>
      <w:r w:rsidRPr="00A07F4E">
        <w:t xml:space="preserve"> </w:t>
      </w:r>
    </w:p>
    <w:p w14:paraId="080A588C" w14:textId="77777777" w:rsidR="00FC37B3" w:rsidRPr="005679B6" w:rsidRDefault="00FC37B3" w:rsidP="00767C29"/>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252B87" w:rsidRPr="005679B6" w14:paraId="22F4D607" w14:textId="77777777" w:rsidTr="00300DCA">
        <w:tc>
          <w:tcPr>
            <w:tcW w:w="3061" w:type="dxa"/>
          </w:tcPr>
          <w:p w14:paraId="4BC50E80" w14:textId="77777777" w:rsidR="00252B87" w:rsidRPr="005679B6" w:rsidRDefault="00252B87" w:rsidP="00300DCA">
            <w:pPr>
              <w:jc w:val="center"/>
              <w:rPr>
                <w:b/>
                <w:bCs/>
              </w:rPr>
            </w:pPr>
            <w:r w:rsidRPr="005679B6">
              <w:rPr>
                <w:b/>
                <w:bCs/>
              </w:rPr>
              <w:t>Kockázat megnevezése</w:t>
            </w:r>
          </w:p>
        </w:tc>
        <w:tc>
          <w:tcPr>
            <w:tcW w:w="3035" w:type="dxa"/>
          </w:tcPr>
          <w:p w14:paraId="61CA24DB" w14:textId="77777777" w:rsidR="00252B87" w:rsidRPr="005679B6" w:rsidRDefault="00252B87" w:rsidP="00300DCA">
            <w:pPr>
              <w:jc w:val="center"/>
              <w:rPr>
                <w:b/>
                <w:bCs/>
              </w:rPr>
            </w:pPr>
            <w:r w:rsidRPr="005679B6">
              <w:rPr>
                <w:b/>
                <w:bCs/>
              </w:rPr>
              <w:t>Kockázati érték</w:t>
            </w:r>
          </w:p>
        </w:tc>
      </w:tr>
      <w:tr w:rsidR="00252B87" w:rsidRPr="005679B6" w14:paraId="279545D4" w14:textId="77777777" w:rsidTr="00FC37B3">
        <w:tc>
          <w:tcPr>
            <w:tcW w:w="3061" w:type="dxa"/>
          </w:tcPr>
          <w:p w14:paraId="25C396AC" w14:textId="08FF3707" w:rsidR="00252B87" w:rsidRPr="005679B6" w:rsidRDefault="00252B87" w:rsidP="008324F3">
            <w:pPr>
              <w:jc w:val="center"/>
            </w:pPr>
            <w:r w:rsidRPr="005679B6">
              <w:t>Termék</w:t>
            </w:r>
            <w:r w:rsidR="00F451F5" w:rsidRPr="005679B6">
              <w:t>ek</w:t>
            </w:r>
            <w:r w:rsidRPr="005679B6">
              <w:t>/szolgáltatás</w:t>
            </w:r>
            <w:r w:rsidR="00F451F5" w:rsidRPr="005679B6">
              <w:t>ok</w:t>
            </w:r>
          </w:p>
        </w:tc>
        <w:tc>
          <w:tcPr>
            <w:tcW w:w="3035" w:type="dxa"/>
            <w:shd w:val="clear" w:color="auto" w:fill="FFC000"/>
          </w:tcPr>
          <w:p w14:paraId="5B780CF0" w14:textId="45C5B104" w:rsidR="00252B87" w:rsidRPr="005679B6" w:rsidRDefault="004817EF" w:rsidP="008324F3">
            <w:pPr>
              <w:jc w:val="center"/>
            </w:pPr>
            <w:r>
              <w:t>Jelentős</w:t>
            </w:r>
          </w:p>
        </w:tc>
      </w:tr>
      <w:tr w:rsidR="00252B87" w:rsidRPr="005679B6" w14:paraId="5BB547DA" w14:textId="77777777" w:rsidTr="008324F3">
        <w:tc>
          <w:tcPr>
            <w:tcW w:w="3061" w:type="dxa"/>
          </w:tcPr>
          <w:p w14:paraId="24A4AC69" w14:textId="1AA8EB3F" w:rsidR="00252B87" w:rsidRPr="005679B6" w:rsidRDefault="00252B87" w:rsidP="008324F3">
            <w:pPr>
              <w:jc w:val="center"/>
            </w:pPr>
            <w:r w:rsidRPr="005679B6">
              <w:t>Ügyfelek</w:t>
            </w:r>
          </w:p>
        </w:tc>
        <w:tc>
          <w:tcPr>
            <w:tcW w:w="3035" w:type="dxa"/>
            <w:shd w:val="clear" w:color="auto" w:fill="FFFF00"/>
          </w:tcPr>
          <w:p w14:paraId="5C76FC2E" w14:textId="0BC659A9" w:rsidR="00252B87" w:rsidRPr="005679B6" w:rsidRDefault="0086019F" w:rsidP="008324F3">
            <w:pPr>
              <w:jc w:val="center"/>
            </w:pPr>
            <w:r w:rsidRPr="005679B6">
              <w:t>Mérsékelten jelentős</w:t>
            </w:r>
          </w:p>
        </w:tc>
      </w:tr>
      <w:tr w:rsidR="00252B87" w:rsidRPr="005679B6" w14:paraId="5A71910E" w14:textId="77777777" w:rsidTr="008324F3">
        <w:tc>
          <w:tcPr>
            <w:tcW w:w="3061" w:type="dxa"/>
          </w:tcPr>
          <w:p w14:paraId="5492598D" w14:textId="411A06E0" w:rsidR="00252B87" w:rsidRPr="005679B6" w:rsidRDefault="00252B87" w:rsidP="008324F3">
            <w:pPr>
              <w:jc w:val="center"/>
            </w:pPr>
            <w:r w:rsidRPr="005679B6">
              <w:t>Földrajzi</w:t>
            </w:r>
          </w:p>
        </w:tc>
        <w:tc>
          <w:tcPr>
            <w:tcW w:w="3035" w:type="dxa"/>
            <w:shd w:val="clear" w:color="auto" w:fill="92D050"/>
          </w:tcPr>
          <w:p w14:paraId="0D824A85" w14:textId="7820A831" w:rsidR="00252B87" w:rsidRPr="005679B6" w:rsidRDefault="006C29FD" w:rsidP="008324F3">
            <w:pPr>
              <w:jc w:val="center"/>
            </w:pPr>
            <w:r w:rsidRPr="005679B6">
              <w:t>Kevésbé jelentős</w:t>
            </w:r>
          </w:p>
        </w:tc>
      </w:tr>
      <w:tr w:rsidR="00252B87" w:rsidRPr="005679B6" w14:paraId="356FDA75" w14:textId="77777777" w:rsidTr="00FC37B3">
        <w:tc>
          <w:tcPr>
            <w:tcW w:w="3061" w:type="dxa"/>
          </w:tcPr>
          <w:p w14:paraId="51D69D87" w14:textId="3105224A" w:rsidR="00252B87" w:rsidRPr="005679B6" w:rsidRDefault="00252B87" w:rsidP="008324F3">
            <w:pPr>
              <w:jc w:val="center"/>
            </w:pPr>
            <w:r w:rsidRPr="005679B6">
              <w:t>Értékesítési csatorna</w:t>
            </w:r>
          </w:p>
        </w:tc>
        <w:tc>
          <w:tcPr>
            <w:tcW w:w="3035" w:type="dxa"/>
            <w:shd w:val="clear" w:color="auto" w:fill="FFC000"/>
          </w:tcPr>
          <w:p w14:paraId="31661CE9" w14:textId="4C24CBC1" w:rsidR="00252B87" w:rsidRPr="005679B6" w:rsidRDefault="004817EF" w:rsidP="008324F3">
            <w:pPr>
              <w:jc w:val="center"/>
            </w:pPr>
            <w:r>
              <w:t>Jelentős</w:t>
            </w:r>
          </w:p>
        </w:tc>
      </w:tr>
    </w:tbl>
    <w:p w14:paraId="7597F158" w14:textId="77777777" w:rsidR="00252B87" w:rsidRPr="00A07F4E" w:rsidRDefault="00252B87" w:rsidP="00767C29"/>
    <w:p w14:paraId="37F0CFE3" w14:textId="4783484F" w:rsidR="008F5FF1" w:rsidRDefault="008F5FF1" w:rsidP="00767C29">
      <w:r w:rsidRPr="008F5FF1">
        <w:t xml:space="preserve">A </w:t>
      </w:r>
      <w:r w:rsidR="00ED5436">
        <w:t>s</w:t>
      </w:r>
      <w:r w:rsidRPr="008F5FF1">
        <w:t>zektorban működő szolgáltatók a pénzforgalmi szolgáltatások palettájáról kínálnak olyan termékeket/szolgáltatásokat, amelyeket meghatározott ügyféltípusok számára terveztek. A szolgáltatók különböző értékesítési csatornákat használnak, amelyek különböző típusú és szintű ML/</w:t>
      </w:r>
      <w:proofErr w:type="spellStart"/>
      <w:r w:rsidRPr="008F5FF1">
        <w:t>TF</w:t>
      </w:r>
      <w:proofErr w:type="spellEnd"/>
      <w:r w:rsidRPr="008F5FF1">
        <w:t xml:space="preserve"> kockázatokat eredményezhetnek. A termékek és szolgáltatások vonatkozásában a kockázat ebben a szektorban akkor kiemelkedően magas, ha a pénzforgalmi szolgáltatásokhoz kapcsolódik készpénzművelet is (készpénz befizetés/kifizetés). A magas kockázatú nem rezidens ügyfelek vagy az off-shore társaságok szintén hozzájárulnak a megnövekedett eredendő kockázathoz ebben az ágazatban. A kapcsolódó értékesítési csatorna kockázat, hogy a pénzforgalmi intézmények pénzforgalmi közvetítők igénybevételével nyújthatják szolgáltatásaikat. A hamisított dokumentációval, illetve a strómanok igénybevételével kapcsolatos kockázatok szintén befolyásolják a kockázati kitettség szintjét. Ezen túlmenően a termékekben rejlő kockázatot növelheti az új technológiák igénybevétele és a nem személyes üzleti kapcsolatok jelenléte.</w:t>
      </w:r>
    </w:p>
    <w:p w14:paraId="10269815" w14:textId="08C8B020" w:rsidR="00073427" w:rsidRDefault="00073427" w:rsidP="00767C29">
      <w:r w:rsidRPr="008F5FF1">
        <w:t xml:space="preserve">Az </w:t>
      </w:r>
      <w:proofErr w:type="spellStart"/>
      <w:r w:rsidRPr="008F5FF1">
        <w:t>EBA</w:t>
      </w:r>
      <w:proofErr w:type="spellEnd"/>
      <w:r w:rsidRPr="008F5FF1">
        <w:t xml:space="preserve"> </w:t>
      </w:r>
      <w:proofErr w:type="spellStart"/>
      <w:r w:rsidRPr="008F5FF1">
        <w:t>Opinion</w:t>
      </w:r>
      <w:proofErr w:type="spellEnd"/>
      <w:r w:rsidRPr="008F5FF1">
        <w:t xml:space="preserve"> alapján, egyrészt a termékek és szolgáltatások, másrészt a </w:t>
      </w:r>
      <w:r w:rsidR="00015A43" w:rsidRPr="008F5FF1">
        <w:t>földrajz</w:t>
      </w:r>
      <w:r w:rsidR="00015A43">
        <w:t xml:space="preserve">i kitettség </w:t>
      </w:r>
      <w:r w:rsidRPr="008F5FF1">
        <w:t xml:space="preserve">esetében a </w:t>
      </w:r>
      <w:r w:rsidR="007F167C" w:rsidRPr="008F5FF1">
        <w:t>J</w:t>
      </w:r>
      <w:r w:rsidRPr="008F5FF1">
        <w:t xml:space="preserve">elentős kockázat, illetve a </w:t>
      </w:r>
      <w:r w:rsidR="007F167C" w:rsidRPr="008F5FF1">
        <w:t>N</w:t>
      </w:r>
      <w:r w:rsidRPr="008F5FF1">
        <w:t xml:space="preserve">agyon jelentős kockázat valamivel magasabb arányban szerepelt, amely </w:t>
      </w:r>
      <w:r w:rsidR="00E33BD4" w:rsidRPr="008F5FF1">
        <w:t xml:space="preserve">minősítés </w:t>
      </w:r>
      <w:r w:rsidRPr="008F5FF1">
        <w:t>tükrözi a</w:t>
      </w:r>
      <w:r w:rsidR="007771CF" w:rsidRPr="008F5FF1">
        <w:t xml:space="preserve"> külföldi</w:t>
      </w:r>
      <w:r w:rsidRPr="008F5FF1">
        <w:t xml:space="preserve"> illetékes hatóságok értékelését a szektor inherens kockázatát tekintve.</w:t>
      </w:r>
      <w:r w:rsidRPr="00A07F4E">
        <w:t xml:space="preserve"> </w:t>
      </w:r>
    </w:p>
    <w:p w14:paraId="1B4BC022" w14:textId="7249B50A" w:rsidR="008E049A" w:rsidRPr="00A07F4E" w:rsidRDefault="007771CF" w:rsidP="008E049A">
      <w:r>
        <w:t>További</w:t>
      </w:r>
      <w:r w:rsidR="00073427" w:rsidRPr="00A07F4E">
        <w:t xml:space="preserve"> kockázatok</w:t>
      </w:r>
      <w:r>
        <w:t xml:space="preserve"> is azonosításra kerültek</w:t>
      </w:r>
      <w:r w:rsidR="00073427" w:rsidRPr="00A07F4E">
        <w:t xml:space="preserve"> a szektor vonatkozásában. A</w:t>
      </w:r>
      <w:r w:rsidR="00A37D9D">
        <w:t xml:space="preserve"> </w:t>
      </w:r>
      <w:r>
        <w:t xml:space="preserve">szektorhoz tartozó </w:t>
      </w:r>
      <w:r w:rsidR="00A37D9D">
        <w:t xml:space="preserve">szolgáltatók </w:t>
      </w:r>
      <w:r w:rsidR="00073427" w:rsidRPr="00A07F4E">
        <w:t xml:space="preserve">szabályalapú utasításokat várnak az </w:t>
      </w:r>
      <w:proofErr w:type="spellStart"/>
      <w:r w:rsidR="00073427" w:rsidRPr="00A07F4E">
        <w:t>AML</w:t>
      </w:r>
      <w:proofErr w:type="spellEnd"/>
      <w:r w:rsidR="00073427" w:rsidRPr="00A07F4E">
        <w:t>/</w:t>
      </w:r>
      <w:proofErr w:type="spellStart"/>
      <w:r w:rsidR="00073427" w:rsidRPr="00A07F4E">
        <w:t>CFT</w:t>
      </w:r>
      <w:proofErr w:type="spellEnd"/>
      <w:r w:rsidR="00073427" w:rsidRPr="00A07F4E">
        <w:t xml:space="preserve"> politikák végrehajtásához, a kockázatalapú megközelítés</w:t>
      </w:r>
      <w:r>
        <w:t xml:space="preserve"> </w:t>
      </w:r>
      <w:r w:rsidR="008C45A4">
        <w:t>a szolgáltatóknál</w:t>
      </w:r>
      <w:r>
        <w:t xml:space="preserve"> nem hatékony</w:t>
      </w:r>
      <w:r w:rsidR="00073427" w:rsidRPr="00A07F4E">
        <w:t xml:space="preserve">. </w:t>
      </w:r>
      <w:r w:rsidR="0051375A">
        <w:t xml:space="preserve">Jellemző, hogy a rendelkezésre álló erőforrást nem megfelelően osztják el a </w:t>
      </w:r>
      <w:r w:rsidR="00ED5436">
        <w:t>s</w:t>
      </w:r>
      <w:r w:rsidR="008C45A4">
        <w:t xml:space="preserve">zektorhoz tartozó </w:t>
      </w:r>
      <w:r w:rsidR="0051375A">
        <w:t xml:space="preserve">szolgáltatók, cél általánosságban </w:t>
      </w:r>
      <w:r w:rsidR="00073427" w:rsidRPr="00A07F4E">
        <w:t xml:space="preserve">a költségek és kiadások </w:t>
      </w:r>
      <w:r w:rsidR="0051375A" w:rsidRPr="00A07F4E">
        <w:t>csökkentés</w:t>
      </w:r>
      <w:r w:rsidR="0051375A">
        <w:t xml:space="preserve">e, </w:t>
      </w:r>
      <w:r w:rsidR="00073427" w:rsidRPr="00A07F4E">
        <w:t xml:space="preserve">mintsem a kockázatalapú </w:t>
      </w:r>
      <w:r w:rsidR="0051375A">
        <w:t>eljárások, politikák alkalmazása</w:t>
      </w:r>
      <w:r w:rsidR="00073427" w:rsidRPr="00A07F4E">
        <w:t xml:space="preserve">, </w:t>
      </w:r>
      <w:r w:rsidR="00073427" w:rsidRPr="00A07F4E">
        <w:lastRenderedPageBreak/>
        <w:t>am</w:t>
      </w:r>
      <w:r w:rsidR="0051375A">
        <w:t>ely</w:t>
      </w:r>
      <w:r w:rsidR="00073427" w:rsidRPr="00A07F4E">
        <w:t xml:space="preserve"> kockázat</w:t>
      </w:r>
      <w:r w:rsidR="000522FB">
        <w:t xml:space="preserve">ot jelent a </w:t>
      </w:r>
      <w:r w:rsidR="00ED5436">
        <w:t>s</w:t>
      </w:r>
      <w:r w:rsidR="000522FB">
        <w:t>zektorban</w:t>
      </w:r>
      <w:r w:rsidR="00073427" w:rsidRPr="00A07F4E">
        <w:t xml:space="preserve">. </w:t>
      </w:r>
      <w:r w:rsidR="001F10D8" w:rsidRPr="00A07F4E">
        <w:t>Általánosságban elmondható</w:t>
      </w:r>
      <w:r w:rsidR="0051375A">
        <w:t xml:space="preserve"> továbbá</w:t>
      </w:r>
      <w:r w:rsidR="001F10D8" w:rsidRPr="00A07F4E">
        <w:t xml:space="preserve">, hogy a szektorhoz tartozó </w:t>
      </w:r>
      <w:r w:rsidR="00A37D9D">
        <w:t>szolgáltatók</w:t>
      </w:r>
      <w:r w:rsidR="0051375A">
        <w:t xml:space="preserve"> </w:t>
      </w:r>
      <w:proofErr w:type="spellStart"/>
      <w:r w:rsidR="0051375A">
        <w:t>AML</w:t>
      </w:r>
      <w:proofErr w:type="spellEnd"/>
      <w:r w:rsidR="0051375A">
        <w:t xml:space="preserve"> tranzakció </w:t>
      </w:r>
      <w:proofErr w:type="spellStart"/>
      <w:r w:rsidR="0051375A">
        <w:t>monitoringja</w:t>
      </w:r>
      <w:proofErr w:type="spellEnd"/>
      <w:r w:rsidR="0051375A">
        <w:t xml:space="preserve"> és a gyanús ügyletek bejelentésére vonatkozó eljárások szabályozása</w:t>
      </w:r>
      <w:r w:rsidR="008C45A4">
        <w:t xml:space="preserve"> is</w:t>
      </w:r>
      <w:r w:rsidR="00A37D9D" w:rsidRPr="00A07F4E">
        <w:t xml:space="preserve"> </w:t>
      </w:r>
      <w:r w:rsidR="00C16943" w:rsidRPr="00A07F4E">
        <w:t>fejlesztendő</w:t>
      </w:r>
      <w:r w:rsidR="001F10D8" w:rsidRPr="00A07F4E">
        <w:t xml:space="preserve">.  </w:t>
      </w:r>
      <w:r w:rsidR="00050D58">
        <w:t>Kockázati tényező tovább</w:t>
      </w:r>
      <w:r w:rsidR="008F20D7">
        <w:t>á</w:t>
      </w:r>
      <w:r w:rsidR="00050D58">
        <w:t>, hogy a</w:t>
      </w:r>
      <w:r w:rsidR="00C16943" w:rsidRPr="00A07F4E">
        <w:t xml:space="preserve"> </w:t>
      </w:r>
      <w:r w:rsidR="00ED5436">
        <w:t>s</w:t>
      </w:r>
      <w:r w:rsidR="0051375A">
        <w:t xml:space="preserve">zektorhoz tartozó szolgáltatók a </w:t>
      </w:r>
      <w:r w:rsidR="00C16943" w:rsidRPr="00A07F4E">
        <w:t xml:space="preserve">felügyleti </w:t>
      </w:r>
      <w:r w:rsidR="001F10D8" w:rsidRPr="00A07F4E">
        <w:t xml:space="preserve">adatszolgáltatások </w:t>
      </w:r>
      <w:r w:rsidR="008C719D" w:rsidRPr="00A07F4E">
        <w:t xml:space="preserve">teljesítése </w:t>
      </w:r>
      <w:r w:rsidR="001F10D8" w:rsidRPr="00A07F4E">
        <w:t xml:space="preserve">során </w:t>
      </w:r>
      <w:r w:rsidR="00C16943" w:rsidRPr="00A07F4E">
        <w:t xml:space="preserve">sok esetben </w:t>
      </w:r>
      <w:r w:rsidR="001F10D8" w:rsidRPr="00A07F4E">
        <w:t>nem megfelelő adatokat</w:t>
      </w:r>
      <w:r w:rsidR="008C719D" w:rsidRPr="00A07F4E">
        <w:t xml:space="preserve"> </w:t>
      </w:r>
      <w:r w:rsidR="00050D58">
        <w:t>szolgáltatnak, valamint</w:t>
      </w:r>
      <w:r w:rsidR="001F10D8" w:rsidRPr="00A07F4E">
        <w:t xml:space="preserve"> </w:t>
      </w:r>
      <w:r w:rsidR="00050D58">
        <w:t>kockázat</w:t>
      </w:r>
      <w:r w:rsidR="008F20D7">
        <w:t>ként került</w:t>
      </w:r>
      <w:r w:rsidR="008C45A4">
        <w:t xml:space="preserve"> </w:t>
      </w:r>
      <w:r w:rsidR="008F20D7">
        <w:t>detektálásra</w:t>
      </w:r>
      <w:r w:rsidR="00050D58">
        <w:t xml:space="preserve"> az alkalmazottak</w:t>
      </w:r>
      <w:r w:rsidR="008E049A" w:rsidRPr="00A07F4E">
        <w:t xml:space="preserve"> </w:t>
      </w:r>
      <w:proofErr w:type="spellStart"/>
      <w:r w:rsidR="00050D58">
        <w:t>AML</w:t>
      </w:r>
      <w:proofErr w:type="spellEnd"/>
      <w:r w:rsidR="00050D58">
        <w:t>/</w:t>
      </w:r>
      <w:proofErr w:type="spellStart"/>
      <w:r w:rsidR="00050D58">
        <w:t>CFT</w:t>
      </w:r>
      <w:proofErr w:type="spellEnd"/>
      <w:r w:rsidR="00050D58">
        <w:t xml:space="preserve"> </w:t>
      </w:r>
      <w:r w:rsidR="008E049A" w:rsidRPr="00A07F4E">
        <w:t xml:space="preserve">ismereteinek és tudatosságának </w:t>
      </w:r>
      <w:r w:rsidR="00050D58">
        <w:t>elmaradása</w:t>
      </w:r>
      <w:r w:rsidR="008E049A" w:rsidRPr="00A07F4E">
        <w:t xml:space="preserve">, amely befolyásolhatja a </w:t>
      </w:r>
      <w:r w:rsidR="008C45A4">
        <w:t xml:space="preserve">szolgáltatók </w:t>
      </w:r>
      <w:r w:rsidR="008E049A" w:rsidRPr="00A07F4E">
        <w:t>hatékonyság</w:t>
      </w:r>
      <w:r w:rsidR="008C45A4">
        <w:t>á</w:t>
      </w:r>
      <w:r w:rsidR="008E049A" w:rsidRPr="00A07F4E">
        <w:t>t</w:t>
      </w:r>
      <w:r w:rsidR="00050D58">
        <w:t>.</w:t>
      </w:r>
      <w:r w:rsidR="00050D58" w:rsidRPr="00A07F4E">
        <w:t xml:space="preserve"> </w:t>
      </w:r>
      <w:r w:rsidR="00050D58">
        <w:t>J</w:t>
      </w:r>
      <w:r w:rsidR="007F167C" w:rsidRPr="00A07F4E">
        <w:t xml:space="preserve">ellemző </w:t>
      </w:r>
      <w:r w:rsidR="00050D58">
        <w:t xml:space="preserve">továbbá </w:t>
      </w:r>
      <w:r w:rsidR="007F167C" w:rsidRPr="00A07F4E">
        <w:t xml:space="preserve">a szektorra a </w:t>
      </w:r>
      <w:r w:rsidR="000923AB" w:rsidRPr="00A07F4E">
        <w:t>késedelmes riportok és/vagy</w:t>
      </w:r>
      <w:r w:rsidR="008E049A" w:rsidRPr="00A07F4E">
        <w:t xml:space="preserve"> a tranzakciós dokumentumok</w:t>
      </w:r>
      <w:r w:rsidR="008C719D" w:rsidRPr="00A07F4E">
        <w:t xml:space="preserve"> </w:t>
      </w:r>
      <w:proofErr w:type="spellStart"/>
      <w:r w:rsidR="009A6B36">
        <w:t>NAV</w:t>
      </w:r>
      <w:proofErr w:type="spellEnd"/>
      <w:r w:rsidR="009A6B36">
        <w:t xml:space="preserve"> </w:t>
      </w:r>
      <w:proofErr w:type="spellStart"/>
      <w:r w:rsidR="009A6B36">
        <w:t>PEI</w:t>
      </w:r>
      <w:r w:rsidR="008C719D" w:rsidRPr="00A07F4E">
        <w:t>-n</w:t>
      </w:r>
      <w:r w:rsidR="009A6B36">
        <w:t>e</w:t>
      </w:r>
      <w:r w:rsidR="008C719D" w:rsidRPr="00A07F4E">
        <w:t>k</w:t>
      </w:r>
      <w:proofErr w:type="spellEnd"/>
      <w:r w:rsidR="008C719D" w:rsidRPr="00A07F4E">
        <w:t xml:space="preserve"> történő</w:t>
      </w:r>
      <w:r w:rsidR="008E049A" w:rsidRPr="00A07F4E">
        <w:t xml:space="preserve"> </w:t>
      </w:r>
      <w:r w:rsidR="008C719D" w:rsidRPr="00A07F4E">
        <w:t>benyújtás</w:t>
      </w:r>
      <w:r w:rsidR="000522FB">
        <w:t>ának hiánya</w:t>
      </w:r>
      <w:r w:rsidR="008C719D" w:rsidRPr="00A07F4E">
        <w:t xml:space="preserve">. </w:t>
      </w:r>
    </w:p>
    <w:p w14:paraId="61540A89" w14:textId="0AC7E622" w:rsidR="007F167C" w:rsidRDefault="00A25E71" w:rsidP="00275138">
      <w:r>
        <w:t>Az MNB</w:t>
      </w:r>
      <w:r w:rsidR="0082345F" w:rsidRPr="00A07F4E">
        <w:t xml:space="preserve"> </w:t>
      </w:r>
      <w:r w:rsidR="00275138" w:rsidRPr="00A07F4E">
        <w:t>figyelembe vette</w:t>
      </w:r>
      <w:r w:rsidR="0082345F" w:rsidRPr="00A07F4E">
        <w:t xml:space="preserve"> továbbá az </w:t>
      </w:r>
      <w:proofErr w:type="spellStart"/>
      <w:r w:rsidR="0082345F" w:rsidRPr="00A07F4E">
        <w:t>EBA</w:t>
      </w:r>
      <w:proofErr w:type="spellEnd"/>
      <w:r w:rsidR="0082345F" w:rsidRPr="00A07F4E">
        <w:t xml:space="preserve"> </w:t>
      </w:r>
      <w:proofErr w:type="spellStart"/>
      <w:r w:rsidR="0082345F" w:rsidRPr="00A07F4E">
        <w:t>Opinion</w:t>
      </w:r>
      <w:proofErr w:type="spellEnd"/>
      <w:r w:rsidR="000D3199" w:rsidRPr="00A07F4E">
        <w:t>-</w:t>
      </w:r>
      <w:r w:rsidR="0082345F" w:rsidRPr="00A07F4E">
        <w:t xml:space="preserve">ben </w:t>
      </w:r>
      <w:r w:rsidR="00F769CD" w:rsidRPr="00A07F4E">
        <w:t>megjelenő</w:t>
      </w:r>
      <w:r w:rsidR="00275138" w:rsidRPr="00A07F4E">
        <w:t xml:space="preserve">, az illetékes </w:t>
      </w:r>
      <w:r w:rsidR="00387E5D">
        <w:t xml:space="preserve">külföldi </w:t>
      </w:r>
      <w:r w:rsidR="00275138" w:rsidRPr="00A07F4E">
        <w:t>hatóságok által megjelölt leggyakoribb tényezőket</w:t>
      </w:r>
      <w:r w:rsidR="004A5E5B">
        <w:t xml:space="preserve"> is</w:t>
      </w:r>
      <w:r w:rsidR="00C16943" w:rsidRPr="00A07F4E">
        <w:t xml:space="preserve">. Ezek </w:t>
      </w:r>
      <w:r w:rsidR="00275138" w:rsidRPr="00A07F4E">
        <w:t xml:space="preserve">növelték a szektor kockázati besorolását; a kínált szolgáltatások készpénzigényes jellege, az alkalmi tranzakciók túlsúlya a tartós üzleti kapcsolatok helyett, a magas kockázatú </w:t>
      </w:r>
      <w:r w:rsidR="007F167C" w:rsidRPr="00A07F4E">
        <w:t>országok</w:t>
      </w:r>
      <w:r w:rsidR="00275138" w:rsidRPr="00A07F4E">
        <w:t xml:space="preserve">, amelyekben a pénzforgalmi intézmények működnek, a tranzakciók nagy volumene és gyorsasága, az új technológiák használata az ügyfelek távolról történő azonosításának megkönnyítésére, valamint az alkalmazott forgalmazási csatornák. Ez utóbbit illetően a hatóságok úgy értékelték, hogy az ügynökhálózatok használata az ágazatban különös kockázatot jelent, mivel ez az üzleti modell a megfelelő irányítás és a megbízó általi megfelelő felügyelet hiányát eredményezheti. </w:t>
      </w:r>
      <w:r w:rsidR="004E1577" w:rsidRPr="00A07F4E">
        <w:t>Mindezek a tényezők különös aggodalomra adnak okot a pénzátutalási ágazatban, amelyet több illetékes hatóság is különösen sebezhetőnek ítélt a terrorizmus finanszírozásához kapcsolódó határokon átnyúló tevékenységekkel szemben. Ez az aggodalom tükröződik az illetékes hatóságoknak a szektor határokon átnyúló tranzakciókkal kapcsolatos ML/</w:t>
      </w:r>
      <w:proofErr w:type="spellStart"/>
      <w:r w:rsidR="004E1577" w:rsidRPr="00A07F4E">
        <w:t>TF</w:t>
      </w:r>
      <w:proofErr w:type="spellEnd"/>
      <w:r w:rsidR="004E1577" w:rsidRPr="00A07F4E">
        <w:t xml:space="preserve"> kockázati kitettségének értékelésében</w:t>
      </w:r>
      <w:r w:rsidR="004E02B2" w:rsidRPr="00A07F4E">
        <w:t>.</w:t>
      </w:r>
    </w:p>
    <w:p w14:paraId="3389B108" w14:textId="70D990FF" w:rsidR="00BF16F2" w:rsidRPr="00A07F4E" w:rsidRDefault="00AD6A84" w:rsidP="00275138">
      <w:r w:rsidRPr="008324F3">
        <w:t xml:space="preserve">További </w:t>
      </w:r>
      <w:r w:rsidR="00BF16F2" w:rsidRPr="00717E93">
        <w:t xml:space="preserve">kockázat </w:t>
      </w:r>
      <w:r w:rsidRPr="008324F3">
        <w:t xml:space="preserve">a szektorban </w:t>
      </w:r>
      <w:r w:rsidR="00BF16F2" w:rsidRPr="00717E93">
        <w:t>a fizetési kérelmek</w:t>
      </w:r>
      <w:r w:rsidR="00595624" w:rsidRPr="008324F3">
        <w:rPr>
          <w:rStyle w:val="Lbjegyzet-hivatkozs"/>
        </w:rPr>
        <w:footnoteReference w:id="6"/>
      </w:r>
      <w:r w:rsidR="00BF16F2" w:rsidRPr="00717E93">
        <w:t xml:space="preserve"> bevezetéséhez és elterjedéséhez kapcsolódik. A szektorhoz tartozó szolgáltatókon keresztül </w:t>
      </w:r>
      <w:r w:rsidR="00E4613E" w:rsidRPr="008324F3">
        <w:t>az ügyfelek</w:t>
      </w:r>
      <w:r w:rsidR="00475D5A" w:rsidRPr="008324F3">
        <w:t>, jelen konstrukcióban a kedvezményezettek</w:t>
      </w:r>
      <w:r w:rsidR="00BF16F2" w:rsidRPr="00717E93">
        <w:t xml:space="preserve"> ún. fizetési kérelemmel élhetnek, amelyeket</w:t>
      </w:r>
      <w:r w:rsidR="00E4613E" w:rsidRPr="008324F3">
        <w:t xml:space="preserve"> –</w:t>
      </w:r>
      <w:r w:rsidR="00BF16F2" w:rsidRPr="00717E93">
        <w:t xml:space="preserve"> </w:t>
      </w:r>
      <w:r w:rsidR="00E4613E" w:rsidRPr="008324F3">
        <w:t>a címzett</w:t>
      </w:r>
      <w:r w:rsidR="00475D5A" w:rsidRPr="008324F3">
        <w:t>, a fizető fél</w:t>
      </w:r>
      <w:r w:rsidR="00E4613E" w:rsidRPr="008324F3">
        <w:t xml:space="preserve"> jóváhagyását követően – </w:t>
      </w:r>
      <w:r w:rsidR="00BF16F2" w:rsidRPr="00717E93">
        <w:t xml:space="preserve">a </w:t>
      </w:r>
      <w:r w:rsidR="00475D5A" w:rsidRPr="008324F3">
        <w:t>fizető fél</w:t>
      </w:r>
      <w:r w:rsidR="00BF16F2" w:rsidRPr="00717E93">
        <w:t xml:space="preserve"> pénzforgalmi szolgáltatója teljesít. Ezen fizetési kérelmek alkalmazásával </w:t>
      </w:r>
      <w:r w:rsidR="00354E9A" w:rsidRPr="008324F3">
        <w:t xml:space="preserve">a </w:t>
      </w:r>
      <w:r w:rsidR="00AF3CAD" w:rsidRPr="008324F3">
        <w:t>visszaélések kockázata</w:t>
      </w:r>
      <w:r w:rsidR="00E4613E" w:rsidRPr="008324F3">
        <w:t xml:space="preserve"> növekedhet</w:t>
      </w:r>
      <w:r w:rsidR="003B715E" w:rsidRPr="008324F3">
        <w:t>, külön</w:t>
      </w:r>
      <w:r w:rsidR="00AF2B5D" w:rsidRPr="008324F3">
        <w:t>ös</w:t>
      </w:r>
      <w:r w:rsidR="003B715E" w:rsidRPr="008324F3">
        <w:t xml:space="preserve"> tekintettel arra, hogy </w:t>
      </w:r>
      <w:r w:rsidR="0057699C" w:rsidRPr="00717E93">
        <w:t xml:space="preserve">kedvezményezett a fizetési kérelmet oly módon is benyújthatja a fizetési számláját vezető pénzforgalmi szolgáltatóhoz, hogy abban az azonnali átutalási megbízás megadásához szükséges adatok között </w:t>
      </w:r>
      <w:r w:rsidR="003B715E" w:rsidRPr="008324F3">
        <w:t xml:space="preserve">a </w:t>
      </w:r>
      <w:r w:rsidR="00400638" w:rsidRPr="00717E93">
        <w:t>fizető fél neve és pénzforgalmi jelzőszáma helyett a fizető fél fizetési számlájához hozzárendelt másodlagos számlaazonosító</w:t>
      </w:r>
      <w:r w:rsidR="00400638" w:rsidRPr="008324F3">
        <w:t xml:space="preserve"> megadására is lehetőség van </w:t>
      </w:r>
      <w:r w:rsidR="00432C8E" w:rsidRPr="00717E93">
        <w:t>(</w:t>
      </w:r>
      <w:r w:rsidR="00400638" w:rsidRPr="00717E93">
        <w:t>35/2017. (XII. 14.) MNB rendelet 36. § (4) bekezdés</w:t>
      </w:r>
      <w:r w:rsidR="003768DD" w:rsidRPr="00717E93">
        <w:t>)</w:t>
      </w:r>
      <w:r w:rsidR="00E4613E" w:rsidRPr="008324F3">
        <w:t xml:space="preserve">. </w:t>
      </w:r>
      <w:r w:rsidR="00F5418C" w:rsidRPr="008324F3">
        <w:t>Megállapítható</w:t>
      </w:r>
      <w:r w:rsidR="00B84319" w:rsidRPr="008324F3">
        <w:t xml:space="preserve"> továbbá</w:t>
      </w:r>
      <w:r w:rsidR="00F5418C" w:rsidRPr="008324F3">
        <w:t xml:space="preserve">, hogy a fizetési kérelem </w:t>
      </w:r>
      <w:r w:rsidR="00EF0858" w:rsidRPr="00717E93">
        <w:t xml:space="preserve">a „piszkos pénz” pénzügyi rendszerben történő </w:t>
      </w:r>
      <w:proofErr w:type="spellStart"/>
      <w:r w:rsidR="00EF0858" w:rsidRPr="00717E93">
        <w:t>rétegzésében</w:t>
      </w:r>
      <w:proofErr w:type="spellEnd"/>
      <w:r w:rsidR="00EF0858" w:rsidRPr="00717E93">
        <w:t xml:space="preserve"> játszhat szerepet, ezzel </w:t>
      </w:r>
      <w:r w:rsidR="00C811DF" w:rsidRPr="00717E93">
        <w:t>egyúttal</w:t>
      </w:r>
      <w:r w:rsidR="00F5418C" w:rsidRPr="00717E93">
        <w:t xml:space="preserve"> növel</w:t>
      </w:r>
      <w:r w:rsidR="00EF0858" w:rsidRPr="00717E93">
        <w:t>ve</w:t>
      </w:r>
      <w:r w:rsidR="00F5418C" w:rsidRPr="00717E93">
        <w:t xml:space="preserve"> a pénzmosási kockázatot.</w:t>
      </w:r>
      <w:r w:rsidR="00F5418C" w:rsidRPr="008324F3">
        <w:t xml:space="preserve"> </w:t>
      </w:r>
      <w:r w:rsidR="00AF2B5D" w:rsidRPr="008324F3">
        <w:t>A s</w:t>
      </w:r>
      <w:r w:rsidR="00E4613E" w:rsidRPr="00717E93">
        <w:t>zolgáltatóknak szükséges felismerniük</w:t>
      </w:r>
      <w:r w:rsidR="0046352D" w:rsidRPr="008324F3">
        <w:t xml:space="preserve"> a fizetési kérelmekhez kapcsolódóan</w:t>
      </w:r>
      <w:r w:rsidR="00E4613E" w:rsidRPr="00717E93">
        <w:t xml:space="preserve"> </w:t>
      </w:r>
      <w:r w:rsidR="00AF2B5D" w:rsidRPr="008324F3">
        <w:t xml:space="preserve">az esetleges </w:t>
      </w:r>
      <w:r w:rsidR="00354E9A" w:rsidRPr="008324F3">
        <w:t>visszaélések</w:t>
      </w:r>
      <w:r w:rsidR="00AF2B5D" w:rsidRPr="008324F3">
        <w:t>et</w:t>
      </w:r>
      <w:r w:rsidR="00354E9A" w:rsidRPr="008324F3">
        <w:t xml:space="preserve">, </w:t>
      </w:r>
      <w:r w:rsidR="00A302FF" w:rsidRPr="008324F3">
        <w:t>pénzmosási kockázatokat</w:t>
      </w:r>
      <w:r w:rsidR="00F5418C" w:rsidRPr="008324F3">
        <w:t xml:space="preserve">, illetve </w:t>
      </w:r>
      <w:r w:rsidR="00AF2B5D" w:rsidRPr="008324F3">
        <w:t>azok</w:t>
      </w:r>
      <w:r w:rsidR="00E4613E" w:rsidRPr="00717E93">
        <w:t xml:space="preserve"> mérséklése érdekében kockázatcsökkentő intézkedéseket </w:t>
      </w:r>
      <w:r w:rsidR="0046352D" w:rsidRPr="008324F3">
        <w:t xml:space="preserve">szükséges </w:t>
      </w:r>
      <w:r w:rsidR="00E4613E" w:rsidRPr="00717E93">
        <w:t xml:space="preserve">bevezetniük. </w:t>
      </w:r>
    </w:p>
    <w:p w14:paraId="70251510" w14:textId="77777777" w:rsidR="00A96E25" w:rsidRPr="00A07F4E" w:rsidRDefault="00A96E25" w:rsidP="00A07F4E">
      <w:pPr>
        <w:pStyle w:val="Listaszerbekezds"/>
        <w:numPr>
          <w:ilvl w:val="1"/>
          <w:numId w:val="11"/>
        </w:numPr>
        <w:ind w:left="851" w:hanging="284"/>
      </w:pPr>
      <w:r w:rsidRPr="00A07F4E">
        <w:t xml:space="preserve">A </w:t>
      </w:r>
      <w:r w:rsidR="006F01A3" w:rsidRPr="00A07F4E">
        <w:t>pénzforgalmi intézm</w:t>
      </w:r>
      <w:r w:rsidR="0022177A" w:rsidRPr="00A07F4E">
        <w:t>é</w:t>
      </w:r>
      <w:r w:rsidR="006F01A3" w:rsidRPr="00A07F4E">
        <w:t>nyi</w:t>
      </w:r>
      <w:r w:rsidRPr="00A07F4E">
        <w:t xml:space="preserve"> szektorban rejlő, határokon átnyúló ML/</w:t>
      </w:r>
      <w:proofErr w:type="spellStart"/>
      <w:r w:rsidRPr="00A07F4E">
        <w:t>TF</w:t>
      </w:r>
      <w:proofErr w:type="spellEnd"/>
      <w:r w:rsidRPr="00A07F4E">
        <w:t xml:space="preserve"> kockázatok</w:t>
      </w:r>
    </w:p>
    <w:p w14:paraId="59A60B36" w14:textId="77777777" w:rsidR="006F319D" w:rsidRPr="00A07F4E" w:rsidRDefault="00A96E25" w:rsidP="00275138">
      <w:r w:rsidRPr="00A07F4E">
        <w:t>A pénzforgalmi intézményi szektorra részben jellemző a külföldi érintettség, azonban Magyarországon tipikusan magyar ügyfelekkel rendelkeznek a pénzforgalmi intézmények.</w:t>
      </w:r>
      <w:r w:rsidR="009B6CD7" w:rsidRPr="00A07F4E">
        <w:t xml:space="preserve"> </w:t>
      </w:r>
      <w:r w:rsidR="004E02B2" w:rsidRPr="00A07F4E">
        <w:t>A felügyeleti tapasztalatok jelentős kockázatokat nem tükröznek, a szektor vonatkozásában nem jellemzőek a külső kockázati jelzések sem.</w:t>
      </w:r>
    </w:p>
    <w:p w14:paraId="5208EEF5" w14:textId="3AA99B22" w:rsidR="002E3995" w:rsidRPr="00A07F4E" w:rsidRDefault="00C77B3C" w:rsidP="00275138">
      <w:pPr>
        <w:rPr>
          <w:b/>
          <w:bCs/>
        </w:rPr>
      </w:pPr>
      <w:r>
        <w:rPr>
          <w:b/>
          <w:bCs/>
        </w:rPr>
        <w:t>Az előzetes</w:t>
      </w:r>
      <w:r w:rsidR="002E3995" w:rsidRPr="00A07F4E">
        <w:rPr>
          <w:b/>
          <w:bCs/>
        </w:rPr>
        <w:t xml:space="preserve"> felmérés alapján a pénzforgalmi intézményi szektor inherens kockázat</w:t>
      </w:r>
      <w:r w:rsidR="00055D40">
        <w:rPr>
          <w:b/>
          <w:bCs/>
        </w:rPr>
        <w:t>a</w:t>
      </w:r>
      <w:r w:rsidR="002E3995" w:rsidRPr="00A07F4E">
        <w:rPr>
          <w:b/>
          <w:bCs/>
        </w:rPr>
        <w:t xml:space="preserve"> </w:t>
      </w:r>
      <w:r w:rsidR="00CC4EE2">
        <w:rPr>
          <w:b/>
          <w:bCs/>
        </w:rPr>
        <w:t>J</w:t>
      </w:r>
      <w:r w:rsidR="002E3995" w:rsidRPr="004A5E5B">
        <w:rPr>
          <w:b/>
          <w:bCs/>
        </w:rPr>
        <w:t>elentős</w:t>
      </w:r>
      <w:r w:rsidR="00597253" w:rsidRPr="004A5E5B">
        <w:rPr>
          <w:b/>
          <w:bCs/>
        </w:rPr>
        <w:t>nek</w:t>
      </w:r>
      <w:r w:rsidR="00406551" w:rsidRPr="00A07F4E">
        <w:rPr>
          <w:b/>
          <w:bCs/>
        </w:rPr>
        <w:t xml:space="preserve"> </w:t>
      </w:r>
      <w:r>
        <w:rPr>
          <w:b/>
          <w:bCs/>
        </w:rPr>
        <w:t>tekintendő</w:t>
      </w:r>
      <w:r w:rsidR="002E3995" w:rsidRPr="00A07F4E">
        <w:rPr>
          <w:b/>
          <w:bCs/>
        </w:rPr>
        <w:t>.</w:t>
      </w:r>
    </w:p>
    <w:tbl>
      <w:tblPr>
        <w:tblW w:w="4040" w:type="dxa"/>
        <w:tblInd w:w="2746" w:type="dxa"/>
        <w:tblCellMar>
          <w:left w:w="70" w:type="dxa"/>
          <w:right w:w="70" w:type="dxa"/>
        </w:tblCellMar>
        <w:tblLook w:val="04A0" w:firstRow="1" w:lastRow="0" w:firstColumn="1" w:lastColumn="0" w:noHBand="0" w:noVBand="1"/>
      </w:tblPr>
      <w:tblGrid>
        <w:gridCol w:w="2140"/>
        <w:gridCol w:w="1900"/>
      </w:tblGrid>
      <w:tr w:rsidR="0039468D" w:rsidRPr="00A07F4E" w14:paraId="56AE11D4" w14:textId="77777777" w:rsidTr="00FC37B3">
        <w:trPr>
          <w:trHeight w:val="300"/>
        </w:trPr>
        <w:tc>
          <w:tcPr>
            <w:tcW w:w="2140" w:type="dxa"/>
            <w:tcBorders>
              <w:top w:val="nil"/>
              <w:left w:val="nil"/>
              <w:bottom w:val="nil"/>
              <w:right w:val="nil"/>
            </w:tcBorders>
            <w:shd w:val="clear" w:color="auto" w:fill="auto"/>
            <w:noWrap/>
            <w:vAlign w:val="center"/>
            <w:hideMark/>
          </w:tcPr>
          <w:p w14:paraId="3BC40CC3" w14:textId="77777777" w:rsidR="0039468D" w:rsidRPr="004A5E5B" w:rsidRDefault="0039468D" w:rsidP="0039468D">
            <w:pPr>
              <w:spacing w:after="0" w:line="240" w:lineRule="auto"/>
              <w:jc w:val="center"/>
              <w:rPr>
                <w:rFonts w:eastAsia="Times New Roman" w:cs="Calibri"/>
                <w:b/>
                <w:bCs/>
                <w:color w:val="000000"/>
              </w:rPr>
            </w:pPr>
            <w:r w:rsidRPr="004A5E5B">
              <w:rPr>
                <w:rFonts w:eastAsia="Times New Roman" w:cs="Calibri"/>
                <w:b/>
                <w:bCs/>
                <w:color w:val="000000"/>
              </w:rPr>
              <w:t>Inherens kockázat:</w:t>
            </w:r>
            <w:r w:rsidRPr="004A5E5B">
              <w:rPr>
                <w:rFonts w:eastAsia="Times New Roman" w:cs="Calibri"/>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B2A73EC" w14:textId="17B13009" w:rsidR="0039468D" w:rsidRPr="004A5E5B" w:rsidRDefault="006C1574" w:rsidP="0039468D">
            <w:pPr>
              <w:spacing w:after="0" w:line="240" w:lineRule="auto"/>
              <w:jc w:val="center"/>
              <w:rPr>
                <w:rFonts w:eastAsia="Times New Roman" w:cs="Calibri"/>
                <w:color w:val="000000"/>
                <w:sz w:val="18"/>
                <w:szCs w:val="18"/>
              </w:rPr>
            </w:pPr>
            <w:r>
              <w:rPr>
                <w:rFonts w:eastAsia="Times New Roman" w:cs="Calibri"/>
                <w:color w:val="000000"/>
                <w:sz w:val="18"/>
                <w:szCs w:val="18"/>
              </w:rPr>
              <w:t>Jelentős</w:t>
            </w:r>
          </w:p>
        </w:tc>
      </w:tr>
    </w:tbl>
    <w:p w14:paraId="17820058" w14:textId="77777777" w:rsidR="00991E68" w:rsidRPr="00A60EE2" w:rsidRDefault="00991E68" w:rsidP="00A07F4E">
      <w:pPr>
        <w:pStyle w:val="Cmsor3"/>
        <w:numPr>
          <w:ilvl w:val="0"/>
          <w:numId w:val="92"/>
        </w:numPr>
      </w:pPr>
      <w:bookmarkStart w:id="50" w:name="_Toc106183445"/>
      <w:bookmarkStart w:id="51" w:name="_Toc106192395"/>
      <w:bookmarkStart w:id="52" w:name="_Toc106197991"/>
      <w:bookmarkStart w:id="53" w:name="_Toc106198637"/>
      <w:bookmarkStart w:id="54" w:name="_Toc106201831"/>
      <w:bookmarkStart w:id="55" w:name="_Toc106869540"/>
      <w:bookmarkStart w:id="56" w:name="_Toc107236405"/>
      <w:bookmarkStart w:id="57" w:name="_Toc107237313"/>
      <w:bookmarkStart w:id="58" w:name="_Toc107237638"/>
      <w:bookmarkStart w:id="59" w:name="_Toc106183446"/>
      <w:bookmarkStart w:id="60" w:name="_Toc106192396"/>
      <w:bookmarkStart w:id="61" w:name="_Toc106197992"/>
      <w:bookmarkStart w:id="62" w:name="_Toc106198638"/>
      <w:bookmarkStart w:id="63" w:name="_Toc106201832"/>
      <w:bookmarkStart w:id="64" w:name="_Toc106869541"/>
      <w:bookmarkStart w:id="65" w:name="_Toc107236406"/>
      <w:bookmarkStart w:id="66" w:name="_Toc107237314"/>
      <w:bookmarkStart w:id="67" w:name="_Toc107237639"/>
      <w:bookmarkStart w:id="68" w:name="_Toc10990601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A60EE2">
        <w:t>Az ellenőrzések minősége</w:t>
      </w:r>
      <w:bookmarkEnd w:id="68"/>
    </w:p>
    <w:p w14:paraId="498495FB" w14:textId="0D5E7680" w:rsidR="00991E68" w:rsidRPr="00A07F4E" w:rsidRDefault="00134F1E" w:rsidP="00991E68">
      <w:r>
        <w:t>Az MNB</w:t>
      </w:r>
      <w:r w:rsidR="00991E68" w:rsidRPr="00A07F4E">
        <w:t xml:space="preserve"> a </w:t>
      </w:r>
      <w:r w:rsidR="007F2F18" w:rsidRPr="00A07F4E">
        <w:t>pénzforgalmi intézményi</w:t>
      </w:r>
      <w:r w:rsidR="00991E68" w:rsidRPr="00A07F4E">
        <w:t xml:space="preserve"> szektor</w:t>
      </w:r>
      <w:r>
        <w:t>hoz tartozó szolgáltatók</w:t>
      </w:r>
      <w:r w:rsidR="000F5ED9" w:rsidRPr="00A07F4E">
        <w:t xml:space="preserve"> általi</w:t>
      </w:r>
      <w:r w:rsidR="00991E68" w:rsidRPr="00A07F4E">
        <w:t xml:space="preserve"> </w:t>
      </w:r>
      <w:r w:rsidR="00F45B1E" w:rsidRPr="00A07F4E">
        <w:t xml:space="preserve">ellenőrzések megfelelőségét és minőségét értékelte, amely alapján </w:t>
      </w:r>
      <w:r w:rsidR="00991E68" w:rsidRPr="00A07F4E">
        <w:t xml:space="preserve">az </w:t>
      </w:r>
      <w:r w:rsidR="00A37D9D">
        <w:t>szolgáltatók</w:t>
      </w:r>
      <w:r w:rsidR="00A37D9D" w:rsidRPr="00A07F4E">
        <w:t xml:space="preserve"> </w:t>
      </w:r>
      <w:r w:rsidR="00991E68" w:rsidRPr="00A07F4E">
        <w:t xml:space="preserve">egészére kiterjedő, illetve az egyes üzleti kapcsolatokra alkalmazott kockázatértékeléseket, a </w:t>
      </w:r>
      <w:proofErr w:type="spellStart"/>
      <w:r w:rsidR="00991E68" w:rsidRPr="00A07F4E">
        <w:t>monitoringhoz</w:t>
      </w:r>
      <w:proofErr w:type="spellEnd"/>
      <w:r w:rsidR="00991E68" w:rsidRPr="00A07F4E">
        <w:t xml:space="preserve"> kapcsolódó eljárásokat, azok hatékonyságát</w:t>
      </w:r>
      <w:r w:rsidR="00E43448" w:rsidRPr="00A07F4E">
        <w:t xml:space="preserve">, az azonosítási és ellenőrzési politikák megfelelőségét, hatékonyságát, valamint a folyamatos </w:t>
      </w:r>
      <w:proofErr w:type="spellStart"/>
      <w:r w:rsidR="00E43448" w:rsidRPr="00A07F4E">
        <w:t>monitoringhoz</w:t>
      </w:r>
      <w:proofErr w:type="spellEnd"/>
      <w:r w:rsidR="00E43448" w:rsidRPr="00A07F4E">
        <w:t xml:space="preserve"> kapcsolódó eljárások megfelelőségét </w:t>
      </w:r>
      <w:r w:rsidR="00E43448" w:rsidRPr="00A07F4E">
        <w:lastRenderedPageBreak/>
        <w:t>és hatékonyságát értékelte</w:t>
      </w:r>
      <w:r w:rsidR="00991E68" w:rsidRPr="00A07F4E">
        <w:t xml:space="preserve"> gyengének,</w:t>
      </w:r>
      <w:r w:rsidR="00B96013" w:rsidRPr="00A07F4E">
        <w:t xml:space="preserve"> míg</w:t>
      </w:r>
      <w:r w:rsidR="00991E68" w:rsidRPr="00A07F4E">
        <w:t xml:space="preserve"> </w:t>
      </w:r>
      <w:r w:rsidR="000E41DA" w:rsidRPr="00A07F4E">
        <w:t xml:space="preserve">a nyilvántartások megfelelőségét és hatékonyságát nagyon </w:t>
      </w:r>
      <w:r w:rsidR="00991E68" w:rsidRPr="00A07F4E">
        <w:t>jónak tekintette.</w:t>
      </w:r>
      <w:r w:rsidR="000E41DA" w:rsidRPr="00A07F4E">
        <w:t xml:space="preserve"> A többi ellenőrzési szempontot </w:t>
      </w:r>
      <w:r>
        <w:t>az MNB</w:t>
      </w:r>
      <w:r w:rsidR="000E41DA" w:rsidRPr="00A07F4E">
        <w:t xml:space="preserve"> jónak </w:t>
      </w:r>
      <w:r w:rsidR="002F45A8">
        <w:t>minősítette</w:t>
      </w:r>
      <w:r w:rsidR="000E41DA" w:rsidRPr="00A07F4E">
        <w:t xml:space="preserve">. </w:t>
      </w:r>
      <w:r w:rsidR="00013B7D" w:rsidRPr="00A07F4E">
        <w:rPr>
          <w:rStyle w:val="Lbjegyzet-hivatkozs"/>
        </w:rPr>
        <w:footnoteReference w:id="7"/>
      </w:r>
    </w:p>
    <w:p w14:paraId="7E7A9C84" w14:textId="77777777" w:rsidR="007D408D" w:rsidRPr="00A07F4E" w:rsidRDefault="007D408D" w:rsidP="00A07F4E">
      <w:pPr>
        <w:pStyle w:val="Cmsor3"/>
        <w:numPr>
          <w:ilvl w:val="0"/>
          <w:numId w:val="92"/>
        </w:numPr>
      </w:pPr>
      <w:bookmarkStart w:id="69" w:name="_Toc109906018"/>
      <w:r w:rsidRPr="00A07F4E">
        <w:t>Felügyeleti tevékenység</w:t>
      </w:r>
      <w:bookmarkEnd w:id="69"/>
    </w:p>
    <w:p w14:paraId="40D36818" w14:textId="40B43063" w:rsidR="007D408D" w:rsidRPr="00A07F4E" w:rsidRDefault="00134F1E" w:rsidP="007D408D">
      <w:r w:rsidRPr="008324F3">
        <w:t>Az MNB</w:t>
      </w:r>
      <w:r w:rsidR="007D408D" w:rsidRPr="008324F3">
        <w:t xml:space="preserve"> a</w:t>
      </w:r>
      <w:r w:rsidR="007D408D" w:rsidRPr="00DB2208">
        <w:t xml:space="preserve"> </w:t>
      </w:r>
      <w:r w:rsidR="007D408D" w:rsidRPr="00A07F4E">
        <w:t>kockázatalapú felügyelésre tekintettel k</w:t>
      </w:r>
      <w:r w:rsidR="0028404C" w:rsidRPr="00A07F4E">
        <w:t>isebb</w:t>
      </w:r>
      <w:r w:rsidR="007D408D" w:rsidRPr="00A07F4E">
        <w:t xml:space="preserve"> hangsúlyt fektetett a pénzforgalmi intézményi szektor </w:t>
      </w:r>
      <w:proofErr w:type="spellStart"/>
      <w:r w:rsidR="004E02B2" w:rsidRPr="00A07F4E">
        <w:t>on</w:t>
      </w:r>
      <w:proofErr w:type="spellEnd"/>
      <w:r w:rsidR="004E02B2" w:rsidRPr="00A07F4E">
        <w:t xml:space="preserve">-site </w:t>
      </w:r>
      <w:r w:rsidR="007D408D" w:rsidRPr="00A07F4E">
        <w:t>vizsgálatára. Felügyeleti tevékenységét</w:t>
      </w:r>
      <w:r w:rsidR="004E02B2" w:rsidRPr="00A07F4E">
        <w:t xml:space="preserve"> </w:t>
      </w:r>
      <w:proofErr w:type="spellStart"/>
      <w:r w:rsidR="004E02B2" w:rsidRPr="00A07F4E">
        <w:t>off</w:t>
      </w:r>
      <w:proofErr w:type="spellEnd"/>
      <w:r w:rsidR="004E02B2" w:rsidRPr="00A07F4E">
        <w:t>-site eszközökkel</w:t>
      </w:r>
      <w:r w:rsidR="007D408D" w:rsidRPr="00A07F4E">
        <w:t xml:space="preserve"> a negyedéves és éves kötelező adatszolgáltatások elemzésével és kiértékelésével látta el. </w:t>
      </w:r>
    </w:p>
    <w:p w14:paraId="094D292E" w14:textId="77777777" w:rsidR="00DB4403" w:rsidRPr="00A07F4E" w:rsidRDefault="00DB4403" w:rsidP="00A07F4E">
      <w:pPr>
        <w:pStyle w:val="Cmsor3"/>
        <w:numPr>
          <w:ilvl w:val="0"/>
          <w:numId w:val="92"/>
        </w:numPr>
      </w:pPr>
      <w:bookmarkStart w:id="70" w:name="_Toc109906019"/>
      <w:r w:rsidRPr="00A07F4E">
        <w:t>Azonosított jogsértések</w:t>
      </w:r>
      <w:bookmarkEnd w:id="70"/>
    </w:p>
    <w:p w14:paraId="70316F9F" w14:textId="02E5AD4B" w:rsidR="00415AFC" w:rsidRDefault="00415AFC" w:rsidP="00DB4403">
      <w:r w:rsidRPr="00A07F4E">
        <w:t xml:space="preserve">Az adatszolgáltatási kötelezettségek teljesítése során </w:t>
      </w:r>
      <w:r w:rsidR="00134F1E">
        <w:t>az MNB</w:t>
      </w:r>
      <w:r w:rsidR="004E02B2" w:rsidRPr="00A07F4E">
        <w:t xml:space="preserve"> jelentős</w:t>
      </w:r>
      <w:r w:rsidRPr="00A07F4E">
        <w:t xml:space="preserve"> jogsértést a szektorhoz tartozó szolgáltatók esetében nem észlelt</w:t>
      </w:r>
      <w:r w:rsidR="006A5BEB">
        <w:t xml:space="preserve">. </w:t>
      </w:r>
      <w:proofErr w:type="spellStart"/>
      <w:r w:rsidR="006A5BEB">
        <w:t>E</w:t>
      </w:r>
      <w:r w:rsidR="00EC21C3">
        <w:t>zidáig</w:t>
      </w:r>
      <w:proofErr w:type="spellEnd"/>
      <w:r w:rsidR="00EC21C3">
        <w:t xml:space="preserve"> e</w:t>
      </w:r>
      <w:r w:rsidR="002B069A" w:rsidRPr="002B069A">
        <w:t xml:space="preserve">gy szolgáltató esetében az MNB átfogó vizsgálata keretében azonosított belső kontroll hiányosságokat. A szóban forgó szolgáltató esetében a </w:t>
      </w:r>
      <w:proofErr w:type="spellStart"/>
      <w:r w:rsidR="002B069A" w:rsidRPr="002B069A">
        <w:t>prudens</w:t>
      </w:r>
      <w:proofErr w:type="spellEnd"/>
      <w:r w:rsidR="002B069A" w:rsidRPr="002B069A">
        <w:t xml:space="preserve"> működést biztosító vállalatirányítási keretrendszer nem volt maradéktalanul biztosított, a megfelelő a belső szabályozói folyamat és a gyenge kontroll következtében a szolgáltató működése jelentős instabilitást mutatott. Egy másik szolgáltatónál rendszerszintű hiányosságok mutatkoztak, azonban ott az MNB felügyeleti intézkedést alkalmazott.</w:t>
      </w:r>
    </w:p>
    <w:p w14:paraId="396EE7EA" w14:textId="77777777" w:rsidR="00CF0CA0" w:rsidRPr="00A07F4E" w:rsidRDefault="00CF0CA0" w:rsidP="00A07F4E">
      <w:pPr>
        <w:pStyle w:val="Cmsor3"/>
        <w:numPr>
          <w:ilvl w:val="0"/>
          <w:numId w:val="92"/>
        </w:numPr>
      </w:pPr>
      <w:bookmarkStart w:id="71" w:name="_Toc106023552"/>
      <w:bookmarkStart w:id="72" w:name="_Toc106023660"/>
      <w:bookmarkStart w:id="73" w:name="_Toc106108247"/>
      <w:bookmarkStart w:id="74" w:name="_Toc106108360"/>
      <w:bookmarkStart w:id="75" w:name="_Toc106120841"/>
      <w:bookmarkStart w:id="76" w:name="_Toc106183450"/>
      <w:bookmarkStart w:id="77" w:name="_Toc106192400"/>
      <w:bookmarkStart w:id="78" w:name="_Toc106197996"/>
      <w:bookmarkStart w:id="79" w:name="_Toc106198642"/>
      <w:bookmarkStart w:id="80" w:name="_Toc106201836"/>
      <w:bookmarkStart w:id="81" w:name="_Toc106869545"/>
      <w:bookmarkStart w:id="82" w:name="_Toc107236410"/>
      <w:bookmarkStart w:id="83" w:name="_Toc107237318"/>
      <w:bookmarkStart w:id="84" w:name="_Toc107237643"/>
      <w:bookmarkStart w:id="85" w:name="_Toc10990602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A07F4E">
        <w:t>Alszektor</w:t>
      </w:r>
      <w:r w:rsidR="009A3188" w:rsidRPr="00A07F4E">
        <w:t>ok</w:t>
      </w:r>
      <w:bookmarkEnd w:id="85"/>
    </w:p>
    <w:p w14:paraId="67D59F25" w14:textId="77777777" w:rsidR="00005441" w:rsidRDefault="00005441" w:rsidP="00FC37B3">
      <w:pPr>
        <w:pStyle w:val="Listaszerbekezds"/>
        <w:numPr>
          <w:ilvl w:val="0"/>
          <w:numId w:val="0"/>
        </w:numPr>
        <w:spacing w:after="0" w:line="240" w:lineRule="auto"/>
        <w:ind w:left="851"/>
        <w:rPr>
          <w:rFonts w:cs="Times New Roman"/>
        </w:rPr>
      </w:pPr>
    </w:p>
    <w:p w14:paraId="3CE44550" w14:textId="3E0BDACC" w:rsidR="002C55AC" w:rsidRPr="00EB6441" w:rsidRDefault="002C55AC" w:rsidP="00FC37B3">
      <w:pPr>
        <w:pStyle w:val="Listaszerbekezds"/>
        <w:numPr>
          <w:ilvl w:val="0"/>
          <w:numId w:val="247"/>
        </w:numPr>
        <w:spacing w:after="0" w:line="240" w:lineRule="auto"/>
        <w:rPr>
          <w:rFonts w:cs="Times New Roman"/>
        </w:rPr>
      </w:pPr>
      <w:r w:rsidRPr="00EB6441">
        <w:rPr>
          <w:rFonts w:cs="Times New Roman"/>
        </w:rPr>
        <w:t>Fizetési számla vezetés tevékenységet nem végző pénzforgalmi intézmény</w:t>
      </w:r>
      <w:r w:rsidR="005E3DF3" w:rsidRPr="00EB6441">
        <w:rPr>
          <w:rFonts w:cs="Times New Roman"/>
        </w:rPr>
        <w:t xml:space="preserve"> - alszektor</w:t>
      </w:r>
    </w:p>
    <w:p w14:paraId="016479F4" w14:textId="21B1F0D7" w:rsidR="002C55AC" w:rsidRDefault="002C55AC" w:rsidP="002C55AC">
      <w:pPr>
        <w:spacing w:after="0" w:line="240" w:lineRule="auto"/>
        <w:rPr>
          <w:rFonts w:cs="Times New Roman"/>
        </w:rPr>
      </w:pPr>
    </w:p>
    <w:p w14:paraId="427134D5" w14:textId="5994C202" w:rsidR="002C55AC" w:rsidRDefault="00467360" w:rsidP="002C55AC">
      <w:pPr>
        <w:spacing w:after="0" w:line="240" w:lineRule="auto"/>
        <w:rPr>
          <w:rFonts w:cs="Times New Roman"/>
        </w:rPr>
      </w:pPr>
      <w:r>
        <w:rPr>
          <w:rFonts w:cs="Times New Roman"/>
        </w:rPr>
        <w:t xml:space="preserve">Az alszektorhoz tartozó szolgáltatók száma 15 és </w:t>
      </w:r>
      <w:r w:rsidR="008A6007">
        <w:rPr>
          <w:rFonts w:cs="Times New Roman"/>
        </w:rPr>
        <w:t>20 között található.</w:t>
      </w:r>
      <w:r>
        <w:rPr>
          <w:rFonts w:cs="Times New Roman"/>
        </w:rPr>
        <w:t xml:space="preserve"> </w:t>
      </w:r>
      <w:r w:rsidR="00E94E20">
        <w:rPr>
          <w:rFonts w:cs="Times New Roman"/>
        </w:rPr>
        <w:t xml:space="preserve">A szektoron belül alszektort képeznek azon pénzforgalmi intézmények, amelyek fizetési számla </w:t>
      </w:r>
      <w:r w:rsidR="00CC0EE6">
        <w:rPr>
          <w:rFonts w:cs="Times New Roman"/>
        </w:rPr>
        <w:t xml:space="preserve">vezetési </w:t>
      </w:r>
      <w:r w:rsidR="00E94E20">
        <w:rPr>
          <w:rFonts w:cs="Times New Roman"/>
        </w:rPr>
        <w:t xml:space="preserve">tevékenységet nem végeznek, azaz a pénzmosási tevékenységek közül a </w:t>
      </w:r>
      <w:proofErr w:type="spellStart"/>
      <w:r w:rsidR="00E94E20">
        <w:rPr>
          <w:rFonts w:cs="Times New Roman"/>
        </w:rPr>
        <w:t>rétegzés</w:t>
      </w:r>
      <w:proofErr w:type="spellEnd"/>
      <w:r w:rsidR="00E94E20">
        <w:rPr>
          <w:rFonts w:cs="Times New Roman"/>
        </w:rPr>
        <w:t xml:space="preserve"> tevékenységé</w:t>
      </w:r>
      <w:r w:rsidR="008762E5">
        <w:rPr>
          <w:rFonts w:cs="Times New Roman"/>
        </w:rPr>
        <w:t>ben</w:t>
      </w:r>
      <w:r w:rsidR="00E94E20">
        <w:rPr>
          <w:rFonts w:cs="Times New Roman"/>
        </w:rPr>
        <w:t xml:space="preserve"> tipikusan nem játszhatnak szerepet,</w:t>
      </w:r>
      <w:r w:rsidR="008762E5">
        <w:rPr>
          <w:rFonts w:cs="Times New Roman"/>
        </w:rPr>
        <w:t xml:space="preserve"> </w:t>
      </w:r>
      <w:r w:rsidR="005C0763">
        <w:rPr>
          <w:rFonts w:cs="Times New Roman"/>
        </w:rPr>
        <w:t>amely</w:t>
      </w:r>
      <w:r w:rsidR="00E94E20">
        <w:rPr>
          <w:rFonts w:cs="Times New Roman"/>
        </w:rPr>
        <w:t xml:space="preserve"> kockázatcsökkentő tényezőnek </w:t>
      </w:r>
      <w:r w:rsidR="005E3DF3">
        <w:rPr>
          <w:rFonts w:cs="Times New Roman"/>
        </w:rPr>
        <w:t>értékelendő</w:t>
      </w:r>
      <w:r w:rsidR="008762E5">
        <w:rPr>
          <w:rFonts w:cs="Times New Roman"/>
        </w:rPr>
        <w:t xml:space="preserve">. </w:t>
      </w:r>
      <w:proofErr w:type="spellStart"/>
      <w:r w:rsidR="008762E5">
        <w:rPr>
          <w:rFonts w:cs="Times New Roman"/>
        </w:rPr>
        <w:t>Minderre</w:t>
      </w:r>
      <w:proofErr w:type="spellEnd"/>
      <w:r w:rsidR="005C0763">
        <w:rPr>
          <w:rFonts w:cs="Times New Roman"/>
        </w:rPr>
        <w:t xml:space="preserve"> tekintettel</w:t>
      </w:r>
      <w:r w:rsidR="005E3CA8">
        <w:rPr>
          <w:rFonts w:cs="Times New Roman"/>
        </w:rPr>
        <w:t>,</w:t>
      </w:r>
      <w:r w:rsidR="005C0763">
        <w:rPr>
          <w:rFonts w:cs="Times New Roman"/>
        </w:rPr>
        <w:t xml:space="preserve"> a szektorhoz képest az alszektor inherens kockázatát Mérsékelten jelentősnek értékelte az MNB.</w:t>
      </w:r>
    </w:p>
    <w:p w14:paraId="0D340B9E" w14:textId="7F9C2AD7" w:rsidR="005C0763" w:rsidRDefault="005C0763" w:rsidP="002C55AC">
      <w:pPr>
        <w:spacing w:after="0" w:line="240" w:lineRule="auto"/>
        <w:rPr>
          <w:rFonts w:cs="Times New Roman"/>
        </w:rPr>
      </w:pPr>
    </w:p>
    <w:tbl>
      <w:tblPr>
        <w:tblW w:w="3180" w:type="dxa"/>
        <w:tblCellMar>
          <w:left w:w="70" w:type="dxa"/>
          <w:right w:w="70" w:type="dxa"/>
        </w:tblCellMar>
        <w:tblLook w:val="04A0" w:firstRow="1" w:lastRow="0" w:firstColumn="1" w:lastColumn="0" w:noHBand="0" w:noVBand="1"/>
      </w:tblPr>
      <w:tblGrid>
        <w:gridCol w:w="1660"/>
        <w:gridCol w:w="1520"/>
      </w:tblGrid>
      <w:tr w:rsidR="005C0763" w:rsidRPr="00A07F4E" w14:paraId="6433F51C" w14:textId="77777777" w:rsidTr="009D018B">
        <w:trPr>
          <w:trHeight w:val="300"/>
        </w:trPr>
        <w:tc>
          <w:tcPr>
            <w:tcW w:w="1660" w:type="dxa"/>
            <w:tcBorders>
              <w:top w:val="nil"/>
              <w:left w:val="nil"/>
              <w:bottom w:val="nil"/>
              <w:right w:val="nil"/>
            </w:tcBorders>
            <w:shd w:val="clear" w:color="auto" w:fill="auto"/>
            <w:noWrap/>
            <w:vAlign w:val="center"/>
            <w:hideMark/>
          </w:tcPr>
          <w:p w14:paraId="078DE8D5" w14:textId="77777777" w:rsidR="005C0763" w:rsidRPr="00A07F4E" w:rsidRDefault="005C0763" w:rsidP="009D018B">
            <w:pPr>
              <w:spacing w:after="0" w:line="240" w:lineRule="auto"/>
              <w:jc w:val="center"/>
              <w:rPr>
                <w:rFonts w:eastAsia="Times New Roman" w:cs="Times New Roman"/>
                <w:b/>
                <w:bCs/>
                <w:color w:val="000000"/>
                <w:sz w:val="16"/>
                <w:szCs w:val="16"/>
              </w:rPr>
            </w:pPr>
            <w:r w:rsidRPr="00A07F4E">
              <w:rPr>
                <w:rFonts w:eastAsia="Times New Roman" w:cs="Times New Roman"/>
                <w:b/>
                <w:bCs/>
                <w:color w:val="000000"/>
                <w:sz w:val="16"/>
                <w:szCs w:val="16"/>
              </w:rPr>
              <w:t>Inherens kockázat:</w:t>
            </w:r>
            <w:r w:rsidRPr="00A07F4E">
              <w:rPr>
                <w:rFonts w:eastAsia="Times New Roman" w:cs="Times New Roman"/>
                <w:color w:val="000000"/>
                <w:sz w:val="16"/>
                <w:szCs w:val="16"/>
              </w:rPr>
              <w:t xml:space="preserve"> </w:t>
            </w:r>
          </w:p>
        </w:tc>
        <w:tc>
          <w:tcPr>
            <w:tcW w:w="152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A29E49B" w14:textId="77777777" w:rsidR="005C0763" w:rsidRPr="00A07F4E" w:rsidRDefault="005C0763" w:rsidP="009D018B">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Mérsékelten jelentős</w:t>
            </w:r>
          </w:p>
        </w:tc>
      </w:tr>
    </w:tbl>
    <w:p w14:paraId="252485B3" w14:textId="77777777" w:rsidR="005C0763" w:rsidRDefault="005C0763" w:rsidP="002C55AC">
      <w:pPr>
        <w:spacing w:after="0" w:line="240" w:lineRule="auto"/>
        <w:rPr>
          <w:rFonts w:cs="Times New Roman"/>
        </w:rPr>
      </w:pPr>
    </w:p>
    <w:p w14:paraId="24DD4426" w14:textId="77777777" w:rsidR="005C0763" w:rsidRDefault="005C0763" w:rsidP="002C55AC">
      <w:pPr>
        <w:spacing w:after="0" w:line="240" w:lineRule="auto"/>
        <w:rPr>
          <w:rFonts w:cs="Times New Roman"/>
        </w:rPr>
      </w:pPr>
    </w:p>
    <w:p w14:paraId="63D3191B" w14:textId="50EC98A6" w:rsidR="008762E5" w:rsidRPr="00A07F4E" w:rsidRDefault="008762E5" w:rsidP="008762E5">
      <w:r w:rsidRPr="009F3A30">
        <w:t>A</w:t>
      </w:r>
      <w:r>
        <w:t xml:space="preserve"> maradványkockázati szint az</w:t>
      </w:r>
      <w:r w:rsidRPr="009F3A30">
        <w:t xml:space="preserve"> inherens kockázat szintjéhez képest nem került </w:t>
      </w:r>
      <w:r>
        <w:t>eltérítésre</w:t>
      </w:r>
      <w:r w:rsidRPr="009F3A30">
        <w:t xml:space="preserve">, mivel egyelőre nem áll rendelkezésre kellő mélységű felügyleleti </w:t>
      </w:r>
      <w:r>
        <w:t>tapasztalat</w:t>
      </w:r>
      <w:r w:rsidRPr="009F3A30">
        <w:t xml:space="preserve"> az alszektort illetően.  </w:t>
      </w:r>
      <w:r>
        <w:t>Az MNB</w:t>
      </w:r>
      <w:r w:rsidRPr="009F3A30">
        <w:t xml:space="preserve"> folyamatos felügyelés keretében, az alszektor </w:t>
      </w:r>
      <w:r>
        <w:t>szolgáltatóinak</w:t>
      </w:r>
      <w:r w:rsidRPr="009F3A30">
        <w:t xml:space="preserve"> ügyfeleitől, illetve társhatóságoktól érkező panaszok és sajtófigyelés során szerzett információk alapján felügyeli</w:t>
      </w:r>
      <w:r>
        <w:t xml:space="preserve"> az alszektorhoz tartozó szolgáltatókat. </w:t>
      </w:r>
    </w:p>
    <w:tbl>
      <w:tblPr>
        <w:tblW w:w="3180" w:type="dxa"/>
        <w:tblCellMar>
          <w:left w:w="70" w:type="dxa"/>
          <w:right w:w="70" w:type="dxa"/>
        </w:tblCellMar>
        <w:tblLook w:val="04A0" w:firstRow="1" w:lastRow="0" w:firstColumn="1" w:lastColumn="0" w:noHBand="0" w:noVBand="1"/>
      </w:tblPr>
      <w:tblGrid>
        <w:gridCol w:w="1660"/>
        <w:gridCol w:w="1520"/>
      </w:tblGrid>
      <w:tr w:rsidR="008762E5" w:rsidRPr="00A07F4E" w14:paraId="5297FAE5" w14:textId="77777777" w:rsidTr="009D018B">
        <w:trPr>
          <w:trHeight w:val="300"/>
        </w:trPr>
        <w:tc>
          <w:tcPr>
            <w:tcW w:w="1660" w:type="dxa"/>
            <w:tcBorders>
              <w:top w:val="nil"/>
              <w:left w:val="nil"/>
              <w:bottom w:val="nil"/>
              <w:right w:val="nil"/>
            </w:tcBorders>
            <w:shd w:val="clear" w:color="auto" w:fill="auto"/>
            <w:noWrap/>
            <w:vAlign w:val="center"/>
            <w:hideMark/>
          </w:tcPr>
          <w:p w14:paraId="347717A5" w14:textId="77777777" w:rsidR="008762E5" w:rsidRPr="00A07F4E" w:rsidRDefault="008762E5" w:rsidP="009D018B">
            <w:pPr>
              <w:spacing w:after="0" w:line="240" w:lineRule="auto"/>
              <w:jc w:val="center"/>
              <w:rPr>
                <w:rFonts w:eastAsia="Times New Roman" w:cs="Times New Roman"/>
                <w:b/>
                <w:bCs/>
                <w:color w:val="000000"/>
                <w:sz w:val="16"/>
                <w:szCs w:val="16"/>
              </w:rPr>
            </w:pPr>
            <w:r w:rsidRPr="00A07F4E">
              <w:rPr>
                <w:rFonts w:eastAsia="Times New Roman" w:cs="Times New Roman"/>
                <w:b/>
                <w:bCs/>
                <w:color w:val="000000"/>
                <w:sz w:val="16"/>
                <w:szCs w:val="16"/>
              </w:rPr>
              <w:t>Maradványkockázat:</w:t>
            </w:r>
          </w:p>
        </w:tc>
        <w:tc>
          <w:tcPr>
            <w:tcW w:w="152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7D2F1ED" w14:textId="77777777" w:rsidR="008762E5" w:rsidRPr="00A07F4E" w:rsidRDefault="008762E5" w:rsidP="009D018B">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Mérsékleten jelentős</w:t>
            </w:r>
          </w:p>
        </w:tc>
      </w:tr>
    </w:tbl>
    <w:p w14:paraId="5950A42A" w14:textId="77777777" w:rsidR="002C55AC" w:rsidRPr="002C55AC" w:rsidRDefault="002C55AC" w:rsidP="00FC37B3">
      <w:pPr>
        <w:spacing w:after="0" w:line="240" w:lineRule="auto"/>
        <w:rPr>
          <w:rFonts w:cs="Times New Roman"/>
        </w:rPr>
      </w:pPr>
    </w:p>
    <w:p w14:paraId="101F82FB" w14:textId="4766108F" w:rsidR="009A3188" w:rsidRPr="00A07F4E" w:rsidRDefault="00E7312D" w:rsidP="00FC37B3">
      <w:pPr>
        <w:pStyle w:val="Listaszerbekezds"/>
        <w:numPr>
          <w:ilvl w:val="1"/>
          <w:numId w:val="19"/>
        </w:numPr>
        <w:spacing w:after="0" w:line="240" w:lineRule="auto"/>
        <w:ind w:left="1418" w:hanging="284"/>
      </w:pPr>
      <w:r>
        <w:t>F</w:t>
      </w:r>
      <w:r w:rsidR="00E5481A" w:rsidRPr="0057023C">
        <w:t>izetés-</w:t>
      </w:r>
      <w:r w:rsidR="00E5481A" w:rsidRPr="00EB6441">
        <w:rPr>
          <w:rFonts w:cs="Times New Roman"/>
        </w:rPr>
        <w:t>kezdeményezési</w:t>
      </w:r>
      <w:r w:rsidR="00E5481A" w:rsidRPr="0057023C">
        <w:t xml:space="preserve"> szolgáltat</w:t>
      </w:r>
      <w:r w:rsidR="00E5481A">
        <w:t xml:space="preserve">ók </w:t>
      </w:r>
      <w:r w:rsidR="009A3188" w:rsidRPr="009F3A30">
        <w:t>(</w:t>
      </w:r>
      <w:proofErr w:type="spellStart"/>
      <w:r w:rsidR="009A3188" w:rsidRPr="009F3A30">
        <w:t>PISP</w:t>
      </w:r>
      <w:proofErr w:type="spellEnd"/>
      <w:r w:rsidR="009A3188" w:rsidRPr="009F3A30">
        <w:t>)</w:t>
      </w:r>
      <w:r w:rsidR="00B42236">
        <w:rPr>
          <w:rStyle w:val="Lbjegyzet-hivatkozs"/>
        </w:rPr>
        <w:footnoteReference w:id="8"/>
      </w:r>
      <w:r w:rsidR="00E5481A">
        <w:t xml:space="preserve"> </w:t>
      </w:r>
      <w:r w:rsidR="00601D05" w:rsidRPr="009F3A30">
        <w:t>–</w:t>
      </w:r>
      <w:r w:rsidR="009A3188" w:rsidRPr="009F3A30">
        <w:t xml:space="preserve"> </w:t>
      </w:r>
      <w:proofErr w:type="spellStart"/>
      <w:r w:rsidR="000F4B1D">
        <w:t>al</w:t>
      </w:r>
      <w:proofErr w:type="spellEnd"/>
      <w:r w:rsidR="000F4B1D">
        <w:t>-</w:t>
      </w:r>
      <w:r w:rsidR="009A3188" w:rsidRPr="009F3A30">
        <w:t>alszektor</w:t>
      </w:r>
    </w:p>
    <w:p w14:paraId="23F08976" w14:textId="77777777" w:rsidR="00601D05" w:rsidRPr="00A07F4E" w:rsidRDefault="00601D05" w:rsidP="00601D05">
      <w:pPr>
        <w:pStyle w:val="Listaszerbekezds"/>
        <w:numPr>
          <w:ilvl w:val="0"/>
          <w:numId w:val="0"/>
        </w:numPr>
        <w:spacing w:after="0" w:line="240" w:lineRule="auto"/>
        <w:ind w:left="1364"/>
      </w:pPr>
    </w:p>
    <w:p w14:paraId="5DD64922" w14:textId="667D564B" w:rsidR="0079674A" w:rsidRPr="009F3A30" w:rsidRDefault="002F62B1" w:rsidP="0079674A">
      <w:pPr>
        <w:spacing w:after="0" w:line="240" w:lineRule="auto"/>
      </w:pPr>
      <w:r>
        <w:t xml:space="preserve">Jelen </w:t>
      </w:r>
      <w:proofErr w:type="spellStart"/>
      <w:r w:rsidR="00221C95">
        <w:t>al</w:t>
      </w:r>
      <w:proofErr w:type="spellEnd"/>
      <w:r w:rsidR="00221C95">
        <w:t>-</w:t>
      </w:r>
      <w:r>
        <w:t xml:space="preserve">alszektorhoz tartozó szolgáltatók </w:t>
      </w:r>
      <w:r w:rsidR="0079674A" w:rsidRPr="002F62B1">
        <w:t xml:space="preserve">száma </w:t>
      </w:r>
      <w:r w:rsidR="006817CB" w:rsidRPr="00FC37B3">
        <w:rPr>
          <w:rFonts w:cs="Times New Roman"/>
        </w:rPr>
        <w:t>3 és 5</w:t>
      </w:r>
      <w:r w:rsidR="006817CB" w:rsidRPr="00FC37B3">
        <w:t xml:space="preserve"> között</w:t>
      </w:r>
      <w:r w:rsidR="00DD0078" w:rsidRPr="00FC37B3">
        <w:t>i</w:t>
      </w:r>
      <w:r w:rsidR="006817CB" w:rsidRPr="00FC37B3">
        <w:t>re</w:t>
      </w:r>
      <w:r w:rsidR="006817CB" w:rsidRPr="002F62B1">
        <w:t xml:space="preserve"> tehető.</w:t>
      </w:r>
      <w:r w:rsidR="0079674A" w:rsidRPr="009F3A30">
        <w:t xml:space="preserve"> </w:t>
      </w:r>
    </w:p>
    <w:p w14:paraId="00C09252" w14:textId="77777777" w:rsidR="0079674A" w:rsidRPr="009F3A30" w:rsidRDefault="0079674A" w:rsidP="00A07F4E">
      <w:pPr>
        <w:pStyle w:val="Listaszerbekezds"/>
        <w:numPr>
          <w:ilvl w:val="0"/>
          <w:numId w:val="0"/>
        </w:numPr>
        <w:spacing w:after="0" w:line="240" w:lineRule="auto"/>
        <w:ind w:left="1364"/>
      </w:pPr>
    </w:p>
    <w:p w14:paraId="74CBC0E0" w14:textId="7112CBE5" w:rsidR="00D1574C" w:rsidRPr="009F3A30" w:rsidRDefault="00601D05" w:rsidP="00FC37B3">
      <w:r w:rsidRPr="008324F3">
        <w:t xml:space="preserve">Az </w:t>
      </w:r>
      <w:proofErr w:type="spellStart"/>
      <w:r w:rsidRPr="008324F3">
        <w:t>EBA</w:t>
      </w:r>
      <w:proofErr w:type="spellEnd"/>
      <w:r w:rsidRPr="008324F3">
        <w:t xml:space="preserve"> iránymutatásaiban </w:t>
      </w:r>
      <w:r w:rsidR="004F18AA" w:rsidRPr="008324F3">
        <w:t>jelezte</w:t>
      </w:r>
      <w:r w:rsidRPr="008324F3">
        <w:t xml:space="preserve">, hogy az </w:t>
      </w:r>
      <w:proofErr w:type="spellStart"/>
      <w:r w:rsidR="004F18AA" w:rsidRPr="008324F3">
        <w:t>AISP-khez</w:t>
      </w:r>
      <w:proofErr w:type="spellEnd"/>
      <w:r w:rsidR="004F18AA" w:rsidRPr="008324F3">
        <w:t xml:space="preserve"> és </w:t>
      </w:r>
      <w:proofErr w:type="spellStart"/>
      <w:r w:rsidR="004F18AA" w:rsidRPr="008324F3">
        <w:t>PISP-khez</w:t>
      </w:r>
      <w:proofErr w:type="spellEnd"/>
      <w:r w:rsidR="004F18AA" w:rsidRPr="008324F3">
        <w:t xml:space="preserve"> kapcsolódó </w:t>
      </w:r>
      <w:r w:rsidRPr="008324F3">
        <w:t>eredendő ML/</w:t>
      </w:r>
      <w:proofErr w:type="spellStart"/>
      <w:r w:rsidRPr="008324F3">
        <w:t>TF</w:t>
      </w:r>
      <w:proofErr w:type="spellEnd"/>
      <w:r w:rsidRPr="008324F3">
        <w:t xml:space="preserve"> kockázat</w:t>
      </w:r>
      <w:r w:rsidR="004F18AA" w:rsidRPr="008324F3">
        <w:t xml:space="preserve"> </w:t>
      </w:r>
      <w:r w:rsidRPr="008324F3">
        <w:t>korlátozott, és ezért az egyszerűsített átvilágítás</w:t>
      </w:r>
      <w:r w:rsidR="0057023C" w:rsidRPr="008324F3">
        <w:t>i</w:t>
      </w:r>
      <w:r w:rsidRPr="008324F3">
        <w:t xml:space="preserve"> (</w:t>
      </w:r>
      <w:proofErr w:type="spellStart"/>
      <w:r w:rsidRPr="008324F3">
        <w:t>SDD</w:t>
      </w:r>
      <w:proofErr w:type="spellEnd"/>
      <w:r w:rsidRPr="008324F3">
        <w:t>) intézkedések a legtöbb esetben megfelelőek.</w:t>
      </w:r>
      <w:r w:rsidR="00B72099" w:rsidRPr="008324F3">
        <w:t xml:space="preserve"> </w:t>
      </w:r>
      <w:r w:rsidR="00D1574C" w:rsidRPr="008324F3">
        <w:t xml:space="preserve">Kockázatot csökkentő tényező, hogy a </w:t>
      </w:r>
      <w:proofErr w:type="spellStart"/>
      <w:r w:rsidR="00D1574C" w:rsidRPr="008324F3">
        <w:t>PISP</w:t>
      </w:r>
      <w:proofErr w:type="spellEnd"/>
      <w:r w:rsidR="00D1574C" w:rsidRPr="008324F3">
        <w:t>-k, bár részt vesznek a fizetési láncban, nem maguk hajtják végre a fizetési műveleteket, és nem rendelkeznek a pénzforgalmi szolgáltatást igénybe vevők pénzeszközeivel</w:t>
      </w:r>
      <w:r w:rsidR="002C05D0" w:rsidRPr="008324F3">
        <w:t xml:space="preserve">. </w:t>
      </w:r>
      <w:r w:rsidR="003E1AEF" w:rsidRPr="008324F3">
        <w:t xml:space="preserve"> Azonban a </w:t>
      </w:r>
      <w:proofErr w:type="spellStart"/>
      <w:r w:rsidR="003E1AEF" w:rsidRPr="008324F3">
        <w:t>PISP</w:t>
      </w:r>
      <w:proofErr w:type="spellEnd"/>
      <w:r w:rsidR="00717E93" w:rsidRPr="008324F3">
        <w:t xml:space="preserve"> szolgáltatóknál </w:t>
      </w:r>
      <w:r w:rsidR="003E1AEF" w:rsidRPr="008324F3">
        <w:t xml:space="preserve">lehetőség van jelen fejezet 2. pontjában </w:t>
      </w:r>
      <w:r w:rsidR="00287904" w:rsidRPr="008324F3">
        <w:t xml:space="preserve">részletezett </w:t>
      </w:r>
      <w:r w:rsidR="003E1AEF" w:rsidRPr="008324F3">
        <w:t xml:space="preserve">fizetési kérelem benyújtására, amely </w:t>
      </w:r>
      <w:r w:rsidR="009631CA">
        <w:t>kockázatot növelő tényező</w:t>
      </w:r>
      <w:r w:rsidR="000F4B1D">
        <w:t xml:space="preserve">, de ez a </w:t>
      </w:r>
      <w:r w:rsidR="000F4B1D">
        <w:lastRenderedPageBreak/>
        <w:t>tény önmagában még nem indokolja az alszektor inherens kockázatához képest történő eltérítést, így</w:t>
      </w:r>
      <w:r w:rsidR="009631CA">
        <w:t xml:space="preserve"> </w:t>
      </w:r>
      <w:r w:rsidR="000F4B1D">
        <w:t>ö</w:t>
      </w:r>
      <w:r w:rsidR="009631CA">
        <w:t xml:space="preserve">sszeségében az MNB az </w:t>
      </w:r>
      <w:proofErr w:type="spellStart"/>
      <w:r w:rsidR="000F4B1D">
        <w:t>al</w:t>
      </w:r>
      <w:proofErr w:type="spellEnd"/>
      <w:r w:rsidR="000F4B1D">
        <w:t>-al</w:t>
      </w:r>
      <w:r w:rsidR="009631CA">
        <w:t xml:space="preserve">szektor inherens kockázatát Mérsékelten jelentősnek </w:t>
      </w:r>
      <w:r w:rsidR="005550CA">
        <w:t>értékeli</w:t>
      </w:r>
      <w:r w:rsidR="00287904" w:rsidRPr="008324F3">
        <w:t>.</w:t>
      </w:r>
      <w:r w:rsidR="00287904">
        <w:t xml:space="preserve"> </w:t>
      </w:r>
      <w:r w:rsidR="003E1AEF">
        <w:t xml:space="preserve">  </w:t>
      </w:r>
    </w:p>
    <w:tbl>
      <w:tblPr>
        <w:tblW w:w="3180" w:type="dxa"/>
        <w:tblCellMar>
          <w:left w:w="70" w:type="dxa"/>
          <w:right w:w="70" w:type="dxa"/>
        </w:tblCellMar>
        <w:tblLook w:val="04A0" w:firstRow="1" w:lastRow="0" w:firstColumn="1" w:lastColumn="0" w:noHBand="0" w:noVBand="1"/>
      </w:tblPr>
      <w:tblGrid>
        <w:gridCol w:w="1660"/>
        <w:gridCol w:w="1520"/>
      </w:tblGrid>
      <w:tr w:rsidR="00293CD7" w:rsidRPr="00A07F4E" w14:paraId="7BD157C0" w14:textId="77777777" w:rsidTr="008324F3">
        <w:trPr>
          <w:trHeight w:val="300"/>
        </w:trPr>
        <w:tc>
          <w:tcPr>
            <w:tcW w:w="1660" w:type="dxa"/>
            <w:tcBorders>
              <w:top w:val="nil"/>
              <w:left w:val="nil"/>
              <w:bottom w:val="nil"/>
              <w:right w:val="nil"/>
            </w:tcBorders>
            <w:shd w:val="clear" w:color="auto" w:fill="auto"/>
            <w:noWrap/>
            <w:vAlign w:val="center"/>
            <w:hideMark/>
          </w:tcPr>
          <w:p w14:paraId="678EFFC8" w14:textId="77777777" w:rsidR="00293CD7" w:rsidRPr="00A07F4E" w:rsidRDefault="00293CD7" w:rsidP="00293CD7">
            <w:pPr>
              <w:spacing w:after="0" w:line="240" w:lineRule="auto"/>
              <w:jc w:val="center"/>
              <w:rPr>
                <w:rFonts w:eastAsia="Times New Roman" w:cs="Times New Roman"/>
                <w:b/>
                <w:bCs/>
                <w:color w:val="000000"/>
                <w:sz w:val="16"/>
                <w:szCs w:val="16"/>
              </w:rPr>
            </w:pPr>
            <w:r w:rsidRPr="00A07F4E">
              <w:rPr>
                <w:rFonts w:eastAsia="Times New Roman" w:cs="Times New Roman"/>
                <w:b/>
                <w:bCs/>
                <w:color w:val="000000"/>
                <w:sz w:val="16"/>
                <w:szCs w:val="16"/>
              </w:rPr>
              <w:t>Inherens kockázat:</w:t>
            </w:r>
            <w:r w:rsidRPr="00A07F4E">
              <w:rPr>
                <w:rFonts w:eastAsia="Times New Roman" w:cs="Times New Roman"/>
                <w:color w:val="000000"/>
                <w:sz w:val="16"/>
                <w:szCs w:val="16"/>
              </w:rPr>
              <w:t xml:space="preserve"> </w:t>
            </w:r>
          </w:p>
        </w:tc>
        <w:tc>
          <w:tcPr>
            <w:tcW w:w="152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3F7930D" w14:textId="49AF312E" w:rsidR="00293CD7" w:rsidRPr="00A07F4E" w:rsidRDefault="00287904" w:rsidP="00293CD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Mérsékelten jelentős</w:t>
            </w:r>
          </w:p>
        </w:tc>
      </w:tr>
    </w:tbl>
    <w:p w14:paraId="29204EAC" w14:textId="77777777" w:rsidR="00293CD7" w:rsidRPr="00A07F4E" w:rsidRDefault="00293CD7" w:rsidP="00601D05">
      <w:pPr>
        <w:spacing w:after="0" w:line="240" w:lineRule="auto"/>
      </w:pPr>
    </w:p>
    <w:p w14:paraId="5776E1F1" w14:textId="2285DBA0" w:rsidR="00636BB8" w:rsidRPr="00A07F4E" w:rsidRDefault="00293CD7" w:rsidP="00636BB8">
      <w:r w:rsidRPr="009F3A30">
        <w:t>Az inherens kockázat szintjéhez képest a maradványkockázati szint nem került módosításra</w:t>
      </w:r>
      <w:r w:rsidR="00FE586B" w:rsidRPr="009F3A30">
        <w:t>,</w:t>
      </w:r>
      <w:r w:rsidRPr="009F3A30">
        <w:t xml:space="preserve"> mivel </w:t>
      </w:r>
      <w:r w:rsidR="00FE586B" w:rsidRPr="009F3A30">
        <w:t>egyelőre nem</w:t>
      </w:r>
      <w:r w:rsidRPr="009F3A30">
        <w:t xml:space="preserve"> áll rendelkezésre kellő mélységű felügyleleti ismeret</w:t>
      </w:r>
      <w:r w:rsidR="00FE586B" w:rsidRPr="009F3A30">
        <w:t xml:space="preserve"> az alszektort illetően</w:t>
      </w:r>
      <w:r w:rsidRPr="009F3A30">
        <w:t>.</w:t>
      </w:r>
      <w:r w:rsidR="00FE586B" w:rsidRPr="009F3A30">
        <w:t xml:space="preserve"> </w:t>
      </w:r>
      <w:r w:rsidRPr="009F3A30">
        <w:t xml:space="preserve"> </w:t>
      </w:r>
      <w:r w:rsidR="0057023C">
        <w:t>Az MNB</w:t>
      </w:r>
      <w:r w:rsidR="00636BB8" w:rsidRPr="009F3A30">
        <w:t xml:space="preserve"> folyamatos felügyelés keretében, az </w:t>
      </w:r>
      <w:proofErr w:type="spellStart"/>
      <w:r w:rsidR="000F4B1D">
        <w:t>al</w:t>
      </w:r>
      <w:proofErr w:type="spellEnd"/>
      <w:r w:rsidR="000F4B1D">
        <w:t>-</w:t>
      </w:r>
      <w:r w:rsidR="00636BB8" w:rsidRPr="009F3A30">
        <w:t xml:space="preserve">alszektor </w:t>
      </w:r>
      <w:r w:rsidR="008C1A55">
        <w:t>szolgáltatóinak</w:t>
      </w:r>
      <w:r w:rsidR="008C1A55" w:rsidRPr="009F3A30">
        <w:t xml:space="preserve"> </w:t>
      </w:r>
      <w:r w:rsidR="00636BB8" w:rsidRPr="009F3A30">
        <w:t xml:space="preserve">ügyfeleitől, illetve társhatóságoktól érkező panaszok és sajtófigyelés során szerzett információk alapján felügyeli, felmerülő kockázati jelzés alapján ellenőrzi a </w:t>
      </w:r>
      <w:proofErr w:type="spellStart"/>
      <w:r w:rsidR="00636BB8" w:rsidRPr="009F3A30">
        <w:t>PISP</w:t>
      </w:r>
      <w:proofErr w:type="spellEnd"/>
      <w:r w:rsidR="00636BB8" w:rsidRPr="009F3A30">
        <w:t>-ket.</w:t>
      </w:r>
      <w:r w:rsidR="00636BB8" w:rsidRPr="00A07F4E">
        <w:t xml:space="preserve"> </w:t>
      </w:r>
    </w:p>
    <w:tbl>
      <w:tblPr>
        <w:tblW w:w="3180" w:type="dxa"/>
        <w:tblCellMar>
          <w:left w:w="70" w:type="dxa"/>
          <w:right w:w="70" w:type="dxa"/>
        </w:tblCellMar>
        <w:tblLook w:val="04A0" w:firstRow="1" w:lastRow="0" w:firstColumn="1" w:lastColumn="0" w:noHBand="0" w:noVBand="1"/>
      </w:tblPr>
      <w:tblGrid>
        <w:gridCol w:w="1660"/>
        <w:gridCol w:w="1520"/>
      </w:tblGrid>
      <w:tr w:rsidR="00900A33" w:rsidRPr="00A07F4E" w14:paraId="6544AC11" w14:textId="77777777" w:rsidTr="008324F3">
        <w:trPr>
          <w:trHeight w:val="300"/>
        </w:trPr>
        <w:tc>
          <w:tcPr>
            <w:tcW w:w="1660" w:type="dxa"/>
            <w:tcBorders>
              <w:top w:val="nil"/>
              <w:left w:val="nil"/>
              <w:bottom w:val="nil"/>
              <w:right w:val="nil"/>
            </w:tcBorders>
            <w:shd w:val="clear" w:color="auto" w:fill="auto"/>
            <w:noWrap/>
            <w:vAlign w:val="center"/>
            <w:hideMark/>
          </w:tcPr>
          <w:p w14:paraId="06C6C301" w14:textId="77777777" w:rsidR="00900A33" w:rsidRPr="00A07F4E" w:rsidRDefault="00900A33" w:rsidP="00900A33">
            <w:pPr>
              <w:spacing w:after="0" w:line="240" w:lineRule="auto"/>
              <w:jc w:val="center"/>
              <w:rPr>
                <w:rFonts w:eastAsia="Times New Roman" w:cs="Times New Roman"/>
                <w:b/>
                <w:bCs/>
                <w:color w:val="000000"/>
                <w:sz w:val="16"/>
                <w:szCs w:val="16"/>
              </w:rPr>
            </w:pPr>
            <w:r w:rsidRPr="00A07F4E">
              <w:rPr>
                <w:rFonts w:eastAsia="Times New Roman" w:cs="Times New Roman"/>
                <w:b/>
                <w:bCs/>
                <w:color w:val="000000"/>
                <w:sz w:val="16"/>
                <w:szCs w:val="16"/>
              </w:rPr>
              <w:t>Maradványkockázat:</w:t>
            </w:r>
          </w:p>
        </w:tc>
        <w:tc>
          <w:tcPr>
            <w:tcW w:w="152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233B8C9" w14:textId="1E25C9F4" w:rsidR="00900A33" w:rsidRPr="00A07F4E" w:rsidRDefault="002D4422" w:rsidP="00900A33">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Mérsékleten jelentős</w:t>
            </w:r>
          </w:p>
        </w:tc>
      </w:tr>
    </w:tbl>
    <w:p w14:paraId="5CD28A08" w14:textId="0367449D" w:rsidR="00144800" w:rsidRDefault="00144800" w:rsidP="00636BB8"/>
    <w:p w14:paraId="4625DD4B" w14:textId="3046E9DC" w:rsidR="009A3188" w:rsidRPr="00A07F4E" w:rsidRDefault="00E5481A" w:rsidP="00FC37B3">
      <w:pPr>
        <w:pStyle w:val="Listaszerbekezds"/>
        <w:numPr>
          <w:ilvl w:val="1"/>
          <w:numId w:val="19"/>
        </w:numPr>
        <w:spacing w:after="0" w:line="240" w:lineRule="auto"/>
        <w:ind w:left="1418" w:hanging="284"/>
      </w:pPr>
      <w:r>
        <w:t>S</w:t>
      </w:r>
      <w:r w:rsidRPr="002342A8">
        <w:t>zámlainformáció</w:t>
      </w:r>
      <w:r>
        <w:t xml:space="preserve">s </w:t>
      </w:r>
      <w:r w:rsidRPr="0057023C">
        <w:t>szolgáltat</w:t>
      </w:r>
      <w:r>
        <w:t xml:space="preserve">ók </w:t>
      </w:r>
      <w:r w:rsidR="009A3188" w:rsidRPr="009F3A30">
        <w:t>(</w:t>
      </w:r>
      <w:proofErr w:type="spellStart"/>
      <w:r w:rsidR="009A3188" w:rsidRPr="009F3A30">
        <w:t>AISP</w:t>
      </w:r>
      <w:proofErr w:type="spellEnd"/>
      <w:r w:rsidR="009A3188" w:rsidRPr="009F3A30">
        <w:t>)</w:t>
      </w:r>
      <w:r w:rsidR="00B42236" w:rsidRPr="00B42236">
        <w:rPr>
          <w:rStyle w:val="Lbjegyzet-hivatkozs"/>
        </w:rPr>
        <w:t xml:space="preserve"> </w:t>
      </w:r>
      <w:r w:rsidR="00B42236">
        <w:rPr>
          <w:rStyle w:val="Lbjegyzet-hivatkozs"/>
        </w:rPr>
        <w:footnoteReference w:id="9"/>
      </w:r>
      <w:r w:rsidR="00B42236" w:rsidRPr="009F3A30">
        <w:t xml:space="preserve"> </w:t>
      </w:r>
      <w:r w:rsidR="009A3188" w:rsidRPr="009F3A30">
        <w:t xml:space="preserve"> </w:t>
      </w:r>
      <w:r w:rsidR="00223171" w:rsidRPr="009F3A30">
        <w:t xml:space="preserve">– </w:t>
      </w:r>
      <w:proofErr w:type="spellStart"/>
      <w:r w:rsidR="000F4B1D">
        <w:t>al</w:t>
      </w:r>
      <w:proofErr w:type="spellEnd"/>
      <w:r w:rsidR="000F4B1D">
        <w:t>-</w:t>
      </w:r>
      <w:r w:rsidR="00ED7351" w:rsidRPr="009F3A30">
        <w:t>alszektor</w:t>
      </w:r>
    </w:p>
    <w:p w14:paraId="35A75C57" w14:textId="77777777" w:rsidR="0079674A" w:rsidRPr="00A07F4E" w:rsidRDefault="0079674A" w:rsidP="00370CCC">
      <w:pPr>
        <w:spacing w:after="0" w:line="240" w:lineRule="auto"/>
      </w:pPr>
    </w:p>
    <w:p w14:paraId="708E4421" w14:textId="23277153" w:rsidR="0079674A" w:rsidRPr="009F3A30" w:rsidRDefault="006F2711" w:rsidP="0079674A">
      <w:pPr>
        <w:spacing w:after="0" w:line="240" w:lineRule="auto"/>
      </w:pPr>
      <w:r>
        <w:t xml:space="preserve">Jelen </w:t>
      </w:r>
      <w:proofErr w:type="spellStart"/>
      <w:r>
        <w:t>al</w:t>
      </w:r>
      <w:proofErr w:type="spellEnd"/>
      <w:r>
        <w:t xml:space="preserve">-alszektorhoz tartozó </w:t>
      </w:r>
      <w:r w:rsidR="00A37D9D">
        <w:t>szolgáltatók</w:t>
      </w:r>
      <w:r w:rsidR="00A37D9D" w:rsidRPr="009F3A30">
        <w:t xml:space="preserve"> </w:t>
      </w:r>
      <w:r w:rsidR="0079674A" w:rsidRPr="006F2711">
        <w:t xml:space="preserve">száma </w:t>
      </w:r>
      <w:r w:rsidR="0079674A" w:rsidRPr="00FC37B3">
        <w:t>5 és 10</w:t>
      </w:r>
      <w:r w:rsidR="0079674A" w:rsidRPr="009F3A30">
        <w:t xml:space="preserve"> közé tehető. </w:t>
      </w:r>
    </w:p>
    <w:p w14:paraId="1CD88D9E" w14:textId="77777777" w:rsidR="0079674A" w:rsidRPr="009F3A30" w:rsidRDefault="0079674A" w:rsidP="00370CCC">
      <w:pPr>
        <w:spacing w:after="0" w:line="240" w:lineRule="auto"/>
      </w:pPr>
    </w:p>
    <w:p w14:paraId="2780057A" w14:textId="2D054BAE" w:rsidR="006563E7" w:rsidRPr="009F3A30" w:rsidRDefault="006563E7" w:rsidP="00370CCC">
      <w:pPr>
        <w:spacing w:after="0" w:line="240" w:lineRule="auto"/>
      </w:pPr>
      <w:r w:rsidRPr="009F3A30">
        <w:t>A számlainformáció</w:t>
      </w:r>
      <w:r w:rsidR="006F6CBA">
        <w:t xml:space="preserve">s </w:t>
      </w:r>
      <w:r w:rsidRPr="009F3A30">
        <w:t xml:space="preserve">szolgáltatás esetén </w:t>
      </w:r>
      <w:r w:rsidR="008C1A55">
        <w:t>a szolgáltató</w:t>
      </w:r>
      <w:r w:rsidRPr="009F3A30">
        <w:t xml:space="preserve"> egyedül banktitoknak minősülő információkhoz fér hozzá, </w:t>
      </w:r>
      <w:r w:rsidR="00A73F0A" w:rsidRPr="009F3A30">
        <w:t xml:space="preserve">a fizetési láncban nem szerepel, </w:t>
      </w:r>
      <w:r w:rsidRPr="009F3A30">
        <w:t>fizetési műveletet kezdeményezni nem áll módjában, a pénzmozgásra semminemű ráhatás</w:t>
      </w:r>
      <w:r w:rsidR="008A0BCB" w:rsidRPr="009F3A30">
        <w:t>a</w:t>
      </w:r>
      <w:r w:rsidRPr="009F3A30">
        <w:t xml:space="preserve"> nincsen</w:t>
      </w:r>
      <w:r w:rsidR="00E668B7" w:rsidRPr="009F3A30">
        <w:t>, azaz</w:t>
      </w:r>
      <w:r w:rsidR="000A04D7" w:rsidRPr="009F3A30">
        <w:t xml:space="preserve"> – </w:t>
      </w:r>
      <w:r w:rsidR="00E668B7" w:rsidRPr="009F3A30">
        <w:t xml:space="preserve">a </w:t>
      </w:r>
      <w:proofErr w:type="spellStart"/>
      <w:r w:rsidR="00E668B7" w:rsidRPr="009F3A30">
        <w:t>PISP-hez</w:t>
      </w:r>
      <w:proofErr w:type="spellEnd"/>
      <w:r w:rsidR="00E668B7" w:rsidRPr="009F3A30">
        <w:t xml:space="preserve"> hasonlóan</w:t>
      </w:r>
      <w:r w:rsidR="000A04D7" w:rsidRPr="009F3A30">
        <w:t xml:space="preserve"> –</w:t>
      </w:r>
      <w:r w:rsidR="00E668B7" w:rsidRPr="009F3A30">
        <w:t xml:space="preserve"> nem rendelkez</w:t>
      </w:r>
      <w:r w:rsidR="008A0BCB" w:rsidRPr="009F3A30">
        <w:t>ik</w:t>
      </w:r>
      <w:r w:rsidR="00E668B7" w:rsidRPr="009F3A30">
        <w:t xml:space="preserve"> a pénzforgalmi szolgáltatást igénybe vevő pénzeszközeivel</w:t>
      </w:r>
      <w:r w:rsidRPr="009F3A30">
        <w:t xml:space="preserve">. </w:t>
      </w:r>
    </w:p>
    <w:p w14:paraId="53EA12DF" w14:textId="77777777" w:rsidR="00293CD7" w:rsidRPr="009F3A30" w:rsidRDefault="00293CD7" w:rsidP="00370CCC">
      <w:pPr>
        <w:spacing w:after="0" w:line="240" w:lineRule="auto"/>
      </w:pPr>
    </w:p>
    <w:p w14:paraId="55E2EA6C" w14:textId="1A225110" w:rsidR="00293CD7" w:rsidRPr="009F3A30" w:rsidRDefault="00293CD7" w:rsidP="00293CD7">
      <w:pPr>
        <w:spacing w:after="0" w:line="240" w:lineRule="auto"/>
      </w:pPr>
      <w:r w:rsidRPr="009F3A30">
        <w:t xml:space="preserve">Az </w:t>
      </w:r>
      <w:proofErr w:type="spellStart"/>
      <w:r w:rsidRPr="009F3A30">
        <w:t>EBA</w:t>
      </w:r>
      <w:proofErr w:type="spellEnd"/>
      <w:r w:rsidRPr="009F3A30">
        <w:t xml:space="preserve"> iránymutatásaiban jelezte, hogy az </w:t>
      </w:r>
      <w:proofErr w:type="spellStart"/>
      <w:r w:rsidRPr="009F3A30">
        <w:t>AISP-khez</w:t>
      </w:r>
      <w:proofErr w:type="spellEnd"/>
      <w:r w:rsidRPr="009F3A30">
        <w:t xml:space="preserve"> és </w:t>
      </w:r>
      <w:proofErr w:type="spellStart"/>
      <w:r w:rsidRPr="009F3A30">
        <w:t>PISP-khez</w:t>
      </w:r>
      <w:proofErr w:type="spellEnd"/>
      <w:r w:rsidRPr="009F3A30">
        <w:t xml:space="preserve"> kapcsolódó eredendő ML/</w:t>
      </w:r>
      <w:proofErr w:type="spellStart"/>
      <w:r w:rsidRPr="009F3A30">
        <w:t>TF</w:t>
      </w:r>
      <w:proofErr w:type="spellEnd"/>
      <w:r w:rsidRPr="009F3A30">
        <w:t xml:space="preserve"> kockázat korlátozott, és ezért az egyszerűsített átvilágítás (</w:t>
      </w:r>
      <w:proofErr w:type="spellStart"/>
      <w:r w:rsidRPr="009F3A30">
        <w:t>SDD</w:t>
      </w:r>
      <w:proofErr w:type="spellEnd"/>
      <w:r w:rsidRPr="009F3A30">
        <w:t>) intézkedések a legtöbb esetben megfelelőek.</w:t>
      </w:r>
      <w:r w:rsidR="000F4B1D">
        <w:t xml:space="preserve">  Tekintettel arra, hogy jelen </w:t>
      </w:r>
      <w:proofErr w:type="spellStart"/>
      <w:r w:rsidR="000F4B1D">
        <w:t>al</w:t>
      </w:r>
      <w:proofErr w:type="spellEnd"/>
      <w:r w:rsidR="000F4B1D">
        <w:t xml:space="preserve">-alszektorba tartozó szolgáltatók a fizetési műveletekre semminemű ráhatással nem rendelkeznek, úgy az alszektor inherens kockázatához képest jelen </w:t>
      </w:r>
      <w:proofErr w:type="spellStart"/>
      <w:r w:rsidR="000F4B1D">
        <w:t>al</w:t>
      </w:r>
      <w:proofErr w:type="spellEnd"/>
      <w:r w:rsidR="000F4B1D">
        <w:t>-alszektor</w:t>
      </w:r>
      <w:r w:rsidR="00A43BDC">
        <w:t>ban működő szolgáltatók</w:t>
      </w:r>
      <w:r w:rsidR="000F4B1D">
        <w:t xml:space="preserve"> </w:t>
      </w:r>
      <w:r w:rsidR="00A43BDC">
        <w:t>kevésbé kitettek ML/</w:t>
      </w:r>
      <w:proofErr w:type="spellStart"/>
      <w:r w:rsidR="00A43BDC">
        <w:t>TF</w:t>
      </w:r>
      <w:proofErr w:type="spellEnd"/>
      <w:r w:rsidR="00A43BDC">
        <w:t xml:space="preserve"> kockázatoknak, így </w:t>
      </w:r>
      <w:r w:rsidR="00970F63">
        <w:t xml:space="preserve">– </w:t>
      </w:r>
      <w:r w:rsidR="00A43BDC">
        <w:t>az alszektor inherens kockázatától eltérően</w:t>
      </w:r>
      <w:r w:rsidR="00970F63">
        <w:t xml:space="preserve"> –</w:t>
      </w:r>
      <w:r w:rsidR="00A43BDC">
        <w:t xml:space="preserve"> a jelen </w:t>
      </w:r>
      <w:proofErr w:type="spellStart"/>
      <w:r w:rsidR="00A43BDC">
        <w:t>al</w:t>
      </w:r>
      <w:proofErr w:type="spellEnd"/>
      <w:r w:rsidR="00A43BDC">
        <w:t xml:space="preserve">-alszektor inherens kockázatát az MNB Kevésbé jelentősnek értékeli. </w:t>
      </w:r>
    </w:p>
    <w:p w14:paraId="7D482346" w14:textId="77777777" w:rsidR="008A0BCB" w:rsidRPr="009F3A30" w:rsidRDefault="008A0BCB" w:rsidP="00293CD7">
      <w:pPr>
        <w:spacing w:after="0" w:line="240" w:lineRule="auto"/>
      </w:pPr>
    </w:p>
    <w:tbl>
      <w:tblPr>
        <w:tblW w:w="3180" w:type="dxa"/>
        <w:tblCellMar>
          <w:left w:w="70" w:type="dxa"/>
          <w:right w:w="70" w:type="dxa"/>
        </w:tblCellMar>
        <w:tblLook w:val="04A0" w:firstRow="1" w:lastRow="0" w:firstColumn="1" w:lastColumn="0" w:noHBand="0" w:noVBand="1"/>
      </w:tblPr>
      <w:tblGrid>
        <w:gridCol w:w="1660"/>
        <w:gridCol w:w="1520"/>
      </w:tblGrid>
      <w:tr w:rsidR="008A0BCB" w:rsidRPr="00A07F4E" w14:paraId="776CE493" w14:textId="77777777" w:rsidTr="00ED16AA">
        <w:trPr>
          <w:trHeight w:val="300"/>
        </w:trPr>
        <w:tc>
          <w:tcPr>
            <w:tcW w:w="1660" w:type="dxa"/>
            <w:tcBorders>
              <w:top w:val="nil"/>
              <w:left w:val="nil"/>
              <w:bottom w:val="nil"/>
              <w:right w:val="nil"/>
            </w:tcBorders>
            <w:shd w:val="clear" w:color="auto" w:fill="auto"/>
            <w:noWrap/>
            <w:vAlign w:val="center"/>
            <w:hideMark/>
          </w:tcPr>
          <w:p w14:paraId="3F315C56" w14:textId="77777777" w:rsidR="008A0BCB" w:rsidRPr="00A07F4E" w:rsidRDefault="008A0BCB" w:rsidP="00ED16AA">
            <w:pPr>
              <w:spacing w:after="0" w:line="240" w:lineRule="auto"/>
              <w:jc w:val="center"/>
              <w:rPr>
                <w:rFonts w:eastAsia="Times New Roman" w:cs="Times New Roman"/>
                <w:b/>
                <w:bCs/>
                <w:color w:val="000000"/>
                <w:sz w:val="16"/>
                <w:szCs w:val="16"/>
              </w:rPr>
            </w:pPr>
            <w:r w:rsidRPr="00A07F4E">
              <w:rPr>
                <w:rFonts w:eastAsia="Times New Roman" w:cs="Times New Roman"/>
                <w:b/>
                <w:bCs/>
                <w:color w:val="000000"/>
                <w:sz w:val="16"/>
                <w:szCs w:val="16"/>
              </w:rPr>
              <w:t>Inherens kockázat:</w:t>
            </w:r>
            <w:r w:rsidRPr="00A07F4E">
              <w:rPr>
                <w:rFonts w:eastAsia="Times New Roman" w:cs="Times New Roman"/>
                <w:color w:val="000000"/>
                <w:sz w:val="16"/>
                <w:szCs w:val="16"/>
              </w:rPr>
              <w:t xml:space="preserve"> </w:t>
            </w: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B02449" w14:textId="77777777" w:rsidR="008A0BCB" w:rsidRPr="00A07F4E" w:rsidRDefault="008A0BCB" w:rsidP="00ED16AA">
            <w:pPr>
              <w:spacing w:after="0" w:line="240" w:lineRule="auto"/>
              <w:jc w:val="center"/>
              <w:rPr>
                <w:rFonts w:eastAsia="Times New Roman" w:cs="Times New Roman"/>
                <w:color w:val="000000"/>
                <w:sz w:val="16"/>
                <w:szCs w:val="16"/>
              </w:rPr>
            </w:pPr>
            <w:r w:rsidRPr="00A07F4E">
              <w:rPr>
                <w:rFonts w:eastAsia="Times New Roman" w:cs="Times New Roman"/>
                <w:color w:val="000000"/>
                <w:sz w:val="16"/>
                <w:szCs w:val="16"/>
              </w:rPr>
              <w:t>Kevésbé jelentős</w:t>
            </w:r>
          </w:p>
        </w:tc>
      </w:tr>
    </w:tbl>
    <w:p w14:paraId="2789D65D" w14:textId="77777777" w:rsidR="008A0BCB" w:rsidRPr="00A07F4E" w:rsidRDefault="008A0BCB" w:rsidP="00293CD7">
      <w:pPr>
        <w:spacing w:after="0" w:line="240" w:lineRule="auto"/>
        <w:rPr>
          <w:rFonts w:cs="Times New Roman"/>
        </w:rPr>
      </w:pPr>
    </w:p>
    <w:p w14:paraId="6DF1641B" w14:textId="544AE610" w:rsidR="008A0BCB" w:rsidRPr="00A07F4E" w:rsidRDefault="008A0BCB" w:rsidP="008A0BCB">
      <w:r w:rsidRPr="009F3A30">
        <w:t xml:space="preserve">Az inherens kockázat szintjéhez képest a maradványkockázati szint nem került módosításra, mivel egyelőre nem áll rendelkezésre kellő mélységű felügyleleti ismeret az </w:t>
      </w:r>
      <w:proofErr w:type="spellStart"/>
      <w:r w:rsidR="00A43BDC">
        <w:t>al</w:t>
      </w:r>
      <w:proofErr w:type="spellEnd"/>
      <w:r w:rsidR="00A43BDC">
        <w:t>-</w:t>
      </w:r>
      <w:r w:rsidRPr="009F3A30">
        <w:t>alszektort illetően.  A</w:t>
      </w:r>
      <w:r w:rsidR="00B42236">
        <w:t>z MNB</w:t>
      </w:r>
      <w:r w:rsidRPr="009F3A30">
        <w:t xml:space="preserve"> folyamatos felügyelés keretében, az </w:t>
      </w:r>
      <w:proofErr w:type="spellStart"/>
      <w:r w:rsidR="00A43BDC">
        <w:t>al</w:t>
      </w:r>
      <w:proofErr w:type="spellEnd"/>
      <w:r w:rsidR="00A43BDC">
        <w:t>-</w:t>
      </w:r>
      <w:r w:rsidRPr="009F3A30">
        <w:t xml:space="preserve">alszektor </w:t>
      </w:r>
      <w:r w:rsidR="008C1A55">
        <w:t>szolgáltatóinak</w:t>
      </w:r>
      <w:r w:rsidR="008C1A55" w:rsidRPr="009F3A30">
        <w:t xml:space="preserve"> </w:t>
      </w:r>
      <w:r w:rsidRPr="009F3A30">
        <w:t xml:space="preserve">ügyfeleitől, illetve társhatóságoktól érkező panaszok és sajtófigyelés során szerzett információk alapján felügyeli, felmerülő kockázati jelzés alapján ellenőrzi a </w:t>
      </w:r>
      <w:proofErr w:type="spellStart"/>
      <w:r w:rsidR="0041629D" w:rsidRPr="009F3A30">
        <w:t>A</w:t>
      </w:r>
      <w:r w:rsidRPr="009F3A30">
        <w:t>ISP</w:t>
      </w:r>
      <w:proofErr w:type="spellEnd"/>
      <w:r w:rsidRPr="009F3A30">
        <w:t>-ket.</w:t>
      </w:r>
      <w:r w:rsidRPr="00A07F4E">
        <w:t xml:space="preserve"> </w:t>
      </w:r>
    </w:p>
    <w:tbl>
      <w:tblPr>
        <w:tblW w:w="3180" w:type="dxa"/>
        <w:tblCellMar>
          <w:left w:w="70" w:type="dxa"/>
          <w:right w:w="70" w:type="dxa"/>
        </w:tblCellMar>
        <w:tblLook w:val="04A0" w:firstRow="1" w:lastRow="0" w:firstColumn="1" w:lastColumn="0" w:noHBand="0" w:noVBand="1"/>
      </w:tblPr>
      <w:tblGrid>
        <w:gridCol w:w="1660"/>
        <w:gridCol w:w="1520"/>
      </w:tblGrid>
      <w:tr w:rsidR="008A0BCB" w:rsidRPr="00A07F4E" w14:paraId="5B6D619D" w14:textId="77777777" w:rsidTr="00ED16AA">
        <w:trPr>
          <w:trHeight w:val="300"/>
        </w:trPr>
        <w:tc>
          <w:tcPr>
            <w:tcW w:w="1660" w:type="dxa"/>
            <w:tcBorders>
              <w:top w:val="nil"/>
              <w:left w:val="nil"/>
              <w:bottom w:val="nil"/>
              <w:right w:val="nil"/>
            </w:tcBorders>
            <w:shd w:val="clear" w:color="auto" w:fill="auto"/>
            <w:noWrap/>
            <w:vAlign w:val="center"/>
            <w:hideMark/>
          </w:tcPr>
          <w:p w14:paraId="609A5418" w14:textId="77777777" w:rsidR="008A0BCB" w:rsidRPr="00A07F4E" w:rsidRDefault="008A0BCB" w:rsidP="00ED16AA">
            <w:pPr>
              <w:spacing w:after="0" w:line="240" w:lineRule="auto"/>
              <w:jc w:val="center"/>
              <w:rPr>
                <w:rFonts w:eastAsia="Times New Roman" w:cs="Times New Roman"/>
                <w:b/>
                <w:bCs/>
                <w:color w:val="000000"/>
                <w:sz w:val="16"/>
                <w:szCs w:val="16"/>
              </w:rPr>
            </w:pPr>
            <w:r w:rsidRPr="00A07F4E">
              <w:rPr>
                <w:rFonts w:eastAsia="Times New Roman" w:cs="Times New Roman"/>
                <w:b/>
                <w:bCs/>
                <w:color w:val="000000"/>
                <w:sz w:val="16"/>
                <w:szCs w:val="16"/>
              </w:rPr>
              <w:t>Maradványkockázat:</w:t>
            </w: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B991954" w14:textId="77777777" w:rsidR="008A0BCB" w:rsidRPr="00A07F4E" w:rsidRDefault="008A0BCB" w:rsidP="00ED16AA">
            <w:pPr>
              <w:spacing w:after="0" w:line="240" w:lineRule="auto"/>
              <w:jc w:val="center"/>
              <w:rPr>
                <w:rFonts w:eastAsia="Times New Roman" w:cs="Times New Roman"/>
                <w:color w:val="000000"/>
                <w:sz w:val="16"/>
                <w:szCs w:val="16"/>
              </w:rPr>
            </w:pPr>
            <w:r w:rsidRPr="00A07F4E">
              <w:rPr>
                <w:rFonts w:eastAsia="Times New Roman" w:cs="Times New Roman"/>
                <w:color w:val="000000"/>
                <w:sz w:val="16"/>
                <w:szCs w:val="16"/>
              </w:rPr>
              <w:t>Kevésbé jelentős</w:t>
            </w:r>
          </w:p>
        </w:tc>
      </w:tr>
    </w:tbl>
    <w:p w14:paraId="384F7DA9" w14:textId="77777777" w:rsidR="00EB5585" w:rsidRPr="00A07F4E" w:rsidRDefault="00EB5585" w:rsidP="00A07F4E">
      <w:pPr>
        <w:pStyle w:val="Cmsor3"/>
        <w:numPr>
          <w:ilvl w:val="0"/>
          <w:numId w:val="92"/>
        </w:numPr>
      </w:pPr>
      <w:bookmarkStart w:id="86" w:name="_Toc107237645"/>
      <w:bookmarkStart w:id="87" w:name="_Toc109906021"/>
      <w:bookmarkEnd w:id="86"/>
      <w:r w:rsidRPr="00A07F4E">
        <w:t>Maradványkockázat</w:t>
      </w:r>
      <w:bookmarkEnd w:id="87"/>
    </w:p>
    <w:p w14:paraId="5C947FFA" w14:textId="0511EE43" w:rsidR="00EB5585" w:rsidRPr="00A07F4E" w:rsidRDefault="00994F77" w:rsidP="00EB5585">
      <w:r>
        <w:t>A</w:t>
      </w:r>
      <w:r w:rsidR="00EB5585" w:rsidRPr="00A07F4E">
        <w:t xml:space="preserve"> maradványkockázat</w:t>
      </w:r>
      <w:r w:rsidR="00AD53A0" w:rsidRPr="00A07F4E">
        <w:t xml:space="preserve"> összességében</w:t>
      </w:r>
      <w:r w:rsidR="00EB5585" w:rsidRPr="00A07F4E">
        <w:t xml:space="preserve"> </w:t>
      </w:r>
      <w:r w:rsidR="009631CA">
        <w:t>J</w:t>
      </w:r>
      <w:r w:rsidR="00EB5585" w:rsidRPr="00A07F4E">
        <w:t xml:space="preserve">elentős. Az inherens kockázati besorolás megegyezik az </w:t>
      </w:r>
      <w:r w:rsidR="008F1A00">
        <w:t>m</w:t>
      </w:r>
      <w:r w:rsidR="008F1A00" w:rsidRPr="008F1A00">
        <w:t>aradványkockázat</w:t>
      </w:r>
      <w:r w:rsidR="00EB5585" w:rsidRPr="00A07F4E">
        <w:t xml:space="preserve"> besorolá</w:t>
      </w:r>
      <w:r w:rsidR="008F1A00">
        <w:t>sáv</w:t>
      </w:r>
      <w:r w:rsidR="00EB5585" w:rsidRPr="00A07F4E">
        <w:t>al, am</w:t>
      </w:r>
      <w:r w:rsidR="001E2D3D" w:rsidRPr="00A07F4E">
        <w:t>ely részben arra</w:t>
      </w:r>
      <w:r w:rsidR="00EB5585" w:rsidRPr="00A07F4E">
        <w:t xml:space="preserve"> </w:t>
      </w:r>
      <w:r w:rsidR="00AD53A0" w:rsidRPr="00A07F4E">
        <w:t>enged következtetni</w:t>
      </w:r>
      <w:r w:rsidR="00EB5585" w:rsidRPr="00A07F4E">
        <w:t xml:space="preserve">, hogy a meglévő ellenőrzések </w:t>
      </w:r>
      <w:r w:rsidR="00F4513C" w:rsidRPr="009F3A30">
        <w:t>egyelőre</w:t>
      </w:r>
      <w:r w:rsidR="00F4513C" w:rsidRPr="00A07F4E">
        <w:t xml:space="preserve"> </w:t>
      </w:r>
      <w:r w:rsidR="00EB5585" w:rsidRPr="00A07F4E">
        <w:t>potenciálisan nem voltak elegendőek a szektorban fennálló általános kockázat mérséklésére.</w:t>
      </w:r>
    </w:p>
    <w:tbl>
      <w:tblPr>
        <w:tblW w:w="4040" w:type="dxa"/>
        <w:jc w:val="center"/>
        <w:tblCellMar>
          <w:left w:w="70" w:type="dxa"/>
          <w:right w:w="70" w:type="dxa"/>
        </w:tblCellMar>
        <w:tblLook w:val="04A0" w:firstRow="1" w:lastRow="0" w:firstColumn="1" w:lastColumn="0" w:noHBand="0" w:noVBand="1"/>
      </w:tblPr>
      <w:tblGrid>
        <w:gridCol w:w="2140"/>
        <w:gridCol w:w="1900"/>
      </w:tblGrid>
      <w:tr w:rsidR="0024663A" w:rsidRPr="00A07F4E" w14:paraId="0A5DFE8E" w14:textId="77777777" w:rsidTr="00FC37B3">
        <w:trPr>
          <w:trHeight w:val="300"/>
          <w:jc w:val="center"/>
        </w:trPr>
        <w:tc>
          <w:tcPr>
            <w:tcW w:w="2140" w:type="dxa"/>
            <w:tcBorders>
              <w:top w:val="nil"/>
              <w:left w:val="nil"/>
              <w:bottom w:val="nil"/>
              <w:right w:val="nil"/>
            </w:tcBorders>
            <w:shd w:val="clear" w:color="auto" w:fill="auto"/>
            <w:noWrap/>
            <w:vAlign w:val="center"/>
            <w:hideMark/>
          </w:tcPr>
          <w:p w14:paraId="47FE93E1" w14:textId="77777777" w:rsidR="0024663A" w:rsidRPr="00A07F4E" w:rsidRDefault="0024663A" w:rsidP="0024663A">
            <w:pPr>
              <w:spacing w:after="0" w:line="240" w:lineRule="auto"/>
              <w:jc w:val="center"/>
              <w:rPr>
                <w:rFonts w:eastAsia="Times New Roman" w:cs="Calibri"/>
                <w:b/>
                <w:bCs/>
                <w:color w:val="000000"/>
              </w:rPr>
            </w:pPr>
            <w:r w:rsidRPr="00A07F4E">
              <w:rPr>
                <w:rFonts w:eastAsia="Times New Roman" w:cs="Calibri"/>
                <w:b/>
                <w:bCs/>
                <w:color w:val="000000"/>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C7BF476" w14:textId="1BEE2EB9" w:rsidR="0024663A" w:rsidRPr="00A07F4E" w:rsidRDefault="009631CA" w:rsidP="0024663A">
            <w:pPr>
              <w:spacing w:after="0" w:line="240" w:lineRule="auto"/>
              <w:jc w:val="center"/>
              <w:rPr>
                <w:rFonts w:eastAsia="Times New Roman" w:cs="Calibri"/>
                <w:color w:val="000000"/>
                <w:sz w:val="18"/>
                <w:szCs w:val="18"/>
              </w:rPr>
            </w:pPr>
            <w:r>
              <w:rPr>
                <w:rFonts w:eastAsia="Times New Roman" w:cs="Calibri"/>
                <w:color w:val="000000"/>
                <w:sz w:val="18"/>
                <w:szCs w:val="18"/>
              </w:rPr>
              <w:t>J</w:t>
            </w:r>
            <w:r w:rsidR="0024663A" w:rsidRPr="00A07F4E">
              <w:rPr>
                <w:rFonts w:eastAsia="Times New Roman" w:cs="Calibri"/>
                <w:color w:val="000000"/>
                <w:sz w:val="18"/>
                <w:szCs w:val="18"/>
              </w:rPr>
              <w:t>elentős</w:t>
            </w:r>
          </w:p>
        </w:tc>
      </w:tr>
    </w:tbl>
    <w:p w14:paraId="01A3A1FB" w14:textId="6F449D97" w:rsidR="002C73BD" w:rsidRDefault="002C73BD" w:rsidP="00FC37B3">
      <w:pPr>
        <w:rPr>
          <w:b/>
        </w:rPr>
      </w:pPr>
    </w:p>
    <w:p w14:paraId="365E942E" w14:textId="77777777" w:rsidR="00E57F87" w:rsidRPr="00FC37B3" w:rsidRDefault="00E57F87" w:rsidP="00FC37B3">
      <w:pPr>
        <w:rPr>
          <w:b/>
        </w:rPr>
      </w:pPr>
    </w:p>
    <w:p w14:paraId="52FB3D17" w14:textId="0D89FC60" w:rsidR="00991E68" w:rsidRPr="00A07F4E" w:rsidRDefault="00846BD1" w:rsidP="00C315D4">
      <w:pPr>
        <w:pStyle w:val="Cmsor2"/>
      </w:pPr>
      <w:bookmarkStart w:id="88" w:name="_Toc109906022"/>
      <w:r w:rsidRPr="00A07F4E">
        <w:lastRenderedPageBreak/>
        <w:t xml:space="preserve">Elektronikuspénz-kibocsátó </w:t>
      </w:r>
      <w:r w:rsidR="00A37D9D">
        <w:t>szolgáltatói</w:t>
      </w:r>
      <w:r w:rsidR="00A37D9D" w:rsidRPr="00A07F4E">
        <w:t xml:space="preserve"> </w:t>
      </w:r>
      <w:r w:rsidRPr="00A07F4E">
        <w:t>szektor</w:t>
      </w:r>
      <w:r w:rsidR="00551FEE">
        <w:rPr>
          <w:rStyle w:val="Lbjegyzet-hivatkozs"/>
        </w:rPr>
        <w:footnoteReference w:id="10"/>
      </w:r>
      <w:bookmarkEnd w:id="88"/>
    </w:p>
    <w:p w14:paraId="0B637B58" w14:textId="77777777" w:rsidR="000A1827" w:rsidRPr="00A07F4E" w:rsidRDefault="000A1827" w:rsidP="00A07F4E">
      <w:pPr>
        <w:pStyle w:val="Cmsor3"/>
        <w:numPr>
          <w:ilvl w:val="0"/>
          <w:numId w:val="100"/>
        </w:numPr>
      </w:pPr>
      <w:bookmarkStart w:id="89" w:name="_Toc109906023"/>
      <w:r w:rsidRPr="00A07F4E">
        <w:t>A szektor méretére, tevékenységi körére és összetettségére vonatkozó információk összesített formában</w:t>
      </w:r>
      <w:bookmarkEnd w:id="89"/>
    </w:p>
    <w:p w14:paraId="714D662A" w14:textId="53574BB3" w:rsidR="00F02997" w:rsidRDefault="000A1827" w:rsidP="00E31152">
      <w:pPr>
        <w:rPr>
          <w:rFonts w:cs="Times New Roman"/>
        </w:rPr>
      </w:pPr>
      <w:r w:rsidRPr="00A07F4E">
        <w:t xml:space="preserve">Tevékenységi körét tekintve </w:t>
      </w:r>
      <w:r w:rsidR="00A37D9D">
        <w:t xml:space="preserve">a </w:t>
      </w:r>
      <w:r w:rsidR="00456429">
        <w:t xml:space="preserve">szektorhoz tartozó </w:t>
      </w:r>
      <w:r w:rsidR="00A37D9D">
        <w:t>szolgáltató</w:t>
      </w:r>
      <w:r w:rsidR="00456429">
        <w:t>k</w:t>
      </w:r>
      <w:r w:rsidR="00E22A19" w:rsidRPr="00A07F4E">
        <w:t xml:space="preserve"> elektr</w:t>
      </w:r>
      <w:r w:rsidR="00076FD0" w:rsidRPr="00A07F4E">
        <w:t>o</w:t>
      </w:r>
      <w:r w:rsidR="00E22A19" w:rsidRPr="00A07F4E">
        <w:t>nikuspénz-kibocsátói</w:t>
      </w:r>
      <w:r w:rsidRPr="00A07F4E">
        <w:t xml:space="preserve"> tevékenységet lát</w:t>
      </w:r>
      <w:r w:rsidR="00456429">
        <w:t>nak</w:t>
      </w:r>
      <w:r w:rsidRPr="00A07F4E">
        <w:t xml:space="preserve"> el.</w:t>
      </w:r>
      <w:r w:rsidR="00A655A3">
        <w:t xml:space="preserve"> </w:t>
      </w:r>
      <w:r w:rsidR="00A655A3" w:rsidRPr="00A655A3">
        <w:t xml:space="preserve">Az MNB </w:t>
      </w:r>
      <w:r w:rsidR="00A655A3" w:rsidRPr="006F2711">
        <w:t xml:space="preserve">jelenleg </w:t>
      </w:r>
      <w:r w:rsidR="00A655A3" w:rsidRPr="00FC37B3">
        <w:t>1 db</w:t>
      </w:r>
      <w:r w:rsidR="00A655A3" w:rsidRPr="006F2711">
        <w:t xml:space="preserve"> intézményt engedélyezett elektronikuspénz-kibocsátó intézményként, valamint </w:t>
      </w:r>
      <w:r w:rsidR="00A655A3" w:rsidRPr="00FC37B3">
        <w:t>1 intézmény van jelen</w:t>
      </w:r>
      <w:r w:rsidR="00A655A3" w:rsidRPr="006F2711">
        <w:t xml:space="preserve"> </w:t>
      </w:r>
      <w:proofErr w:type="spellStart"/>
      <w:r w:rsidR="00A655A3" w:rsidRPr="006F2711">
        <w:t>EGT</w:t>
      </w:r>
      <w:proofErr w:type="spellEnd"/>
      <w:r w:rsidR="00A655A3" w:rsidRPr="006F2711">
        <w:t xml:space="preserve"> tagállamban engedélyezett</w:t>
      </w:r>
      <w:r w:rsidR="00A655A3" w:rsidRPr="00A655A3">
        <w:t xml:space="preserve"> </w:t>
      </w:r>
      <w:r w:rsidR="00A655A3">
        <w:t>elektronikuspénz-kibocsátó intézmény</w:t>
      </w:r>
      <w:r w:rsidR="00A655A3" w:rsidRPr="00A655A3">
        <w:t xml:space="preserve"> </w:t>
      </w:r>
      <w:proofErr w:type="spellStart"/>
      <w:r w:rsidR="00A655A3" w:rsidRPr="00A655A3">
        <w:t>fióktelepeként</w:t>
      </w:r>
      <w:proofErr w:type="spellEnd"/>
      <w:r w:rsidR="00A655A3" w:rsidRPr="00A655A3">
        <w:t>. Emellett számos intézmény határon átnyúló szolgáltatás keretében végzi Magyarországon a tevékenységet</w:t>
      </w:r>
      <w:r w:rsidR="00E31152">
        <w:t>, illetve a</w:t>
      </w:r>
      <w:r w:rsidR="00AA5BB9" w:rsidRPr="00F924E3">
        <w:t xml:space="preserve"> külföldi elektronikuspénz-kibocsátó </w:t>
      </w:r>
      <w:r w:rsidR="00A37D9D" w:rsidRPr="00F924E3">
        <w:t>szolgáltató</w:t>
      </w:r>
      <w:r w:rsidR="00456429" w:rsidRPr="00F924E3">
        <w:rPr>
          <w:rFonts w:cs="Times New Roman"/>
        </w:rPr>
        <w:t xml:space="preserve">, közvetítőkön keresztül </w:t>
      </w:r>
      <w:r w:rsidR="00F02997" w:rsidRPr="00F924E3">
        <w:rPr>
          <w:rFonts w:cs="Times New Roman"/>
        </w:rPr>
        <w:t>pénzforgalmi szolgáltatásokat végezhet egy másik tagállamban (az e-pénz kibocsátása kivételével) anélkül, hogy fióktelepet létesítene az adott tagállamban</w:t>
      </w:r>
      <w:r w:rsidR="00AA5BB9" w:rsidRPr="00F924E3">
        <w:rPr>
          <w:rFonts w:cs="Times New Roman"/>
        </w:rPr>
        <w:t>.</w:t>
      </w:r>
    </w:p>
    <w:p w14:paraId="41554635" w14:textId="77777777" w:rsidR="00EA5CBD" w:rsidRPr="00A07F4E" w:rsidRDefault="00EA5CBD" w:rsidP="00A07F4E">
      <w:pPr>
        <w:pStyle w:val="Cmsor3"/>
        <w:numPr>
          <w:ilvl w:val="0"/>
          <w:numId w:val="100"/>
        </w:numPr>
      </w:pPr>
      <w:bookmarkStart w:id="90" w:name="_Toc109906024"/>
      <w:r w:rsidRPr="00A07F4E">
        <w:t>Inherens kockázatértékelés</w:t>
      </w:r>
      <w:bookmarkEnd w:id="90"/>
    </w:p>
    <w:p w14:paraId="7F732DDA" w14:textId="77777777" w:rsidR="00A65440" w:rsidRPr="00A07F4E" w:rsidRDefault="00A65440" w:rsidP="00A07F4E">
      <w:pPr>
        <w:pStyle w:val="Listaszerbekezds"/>
        <w:numPr>
          <w:ilvl w:val="1"/>
          <w:numId w:val="12"/>
        </w:numPr>
        <w:ind w:left="851" w:hanging="284"/>
      </w:pPr>
      <w:r w:rsidRPr="00A07F4E">
        <w:t xml:space="preserve">Az </w:t>
      </w:r>
      <w:r w:rsidR="00AB664D" w:rsidRPr="00A07F4E">
        <w:t xml:space="preserve">elektronikuspénz </w:t>
      </w:r>
      <w:r w:rsidRPr="00A07F4E">
        <w:t xml:space="preserve">-kibocsátó </w:t>
      </w:r>
      <w:r w:rsidR="00A37D9D">
        <w:t>szolgáltatói</w:t>
      </w:r>
      <w:r w:rsidR="00A37D9D" w:rsidRPr="00A07F4E">
        <w:t xml:space="preserve"> </w:t>
      </w:r>
      <w:r w:rsidRPr="00A07F4E">
        <w:t>szektorban rejlő ML/</w:t>
      </w:r>
      <w:proofErr w:type="spellStart"/>
      <w:r w:rsidRPr="00A07F4E">
        <w:t>TF</w:t>
      </w:r>
      <w:proofErr w:type="spellEnd"/>
      <w:r w:rsidRPr="00A07F4E">
        <w:t xml:space="preserve"> kockázati tényezők</w:t>
      </w:r>
    </w:p>
    <w:p w14:paraId="13C4E5F3" w14:textId="610FC678" w:rsidR="00FC37B3" w:rsidRDefault="0034617A" w:rsidP="00EA5CBD">
      <w:r w:rsidRPr="00FA310E">
        <w:t>A</w:t>
      </w:r>
      <w:r w:rsidR="00456429" w:rsidRPr="000D571E">
        <w:t>z MNB</w:t>
      </w:r>
      <w:r w:rsidR="008F2077" w:rsidRPr="008B2356">
        <w:t xml:space="preserve"> </w:t>
      </w:r>
      <w:r w:rsidRPr="00FA310E">
        <w:t>a termékek</w:t>
      </w:r>
      <w:r w:rsidRPr="000C5D7B">
        <w:t>/szolgáltatások, ügyfelek és az értékesítési csatorna kockázatát Mérsékelten jelentősnek</w:t>
      </w:r>
      <w:r w:rsidR="009A2D67" w:rsidRPr="000C5D7B">
        <w:t xml:space="preserve"> </w:t>
      </w:r>
      <w:r w:rsidR="00091A66" w:rsidRPr="000C5D7B">
        <w:t>minősítette</w:t>
      </w:r>
      <w:r w:rsidRPr="000C5D7B">
        <w:t xml:space="preserve">, míg a földrajzi kockázat Jelentős kockázati besorolást kapott. Az </w:t>
      </w:r>
      <w:proofErr w:type="spellStart"/>
      <w:r w:rsidRPr="000C5D7B">
        <w:t>EBA</w:t>
      </w:r>
      <w:proofErr w:type="spellEnd"/>
      <w:r w:rsidRPr="000C5D7B">
        <w:t xml:space="preserve"> </w:t>
      </w:r>
      <w:proofErr w:type="spellStart"/>
      <w:r w:rsidRPr="000C5D7B">
        <w:t>Opinion</w:t>
      </w:r>
      <w:proofErr w:type="spellEnd"/>
      <w:r w:rsidRPr="000C5D7B">
        <w:t xml:space="preserve"> alapján, a fő tényező, amelyhez ML/</w:t>
      </w:r>
      <w:proofErr w:type="spellStart"/>
      <w:r w:rsidRPr="000C5D7B">
        <w:t>TF</w:t>
      </w:r>
      <w:proofErr w:type="spellEnd"/>
      <w:r w:rsidRPr="000C5D7B">
        <w:t xml:space="preserve"> kockázatok kapcsolódnak az értékesítési csatornákhoz köthető</w:t>
      </w:r>
      <w:r w:rsidR="003A3500" w:rsidRPr="000C5D7B">
        <w:t>e</w:t>
      </w:r>
      <w:r w:rsidR="0036135D" w:rsidRPr="000C5D7B">
        <w:t>k</w:t>
      </w:r>
      <w:r w:rsidRPr="000C5D7B">
        <w:t xml:space="preserve">. </w:t>
      </w:r>
      <w:r w:rsidRPr="002B0B30">
        <w:t xml:space="preserve">Magyarországon a jelenlévő </w:t>
      </w:r>
      <w:r w:rsidR="00A37D9D" w:rsidRPr="002B0B30">
        <w:t xml:space="preserve">szolgáltatói </w:t>
      </w:r>
      <w:r w:rsidRPr="002B0B30">
        <w:t xml:space="preserve">számra tekintettel </w:t>
      </w:r>
      <w:r w:rsidR="006B7AF1" w:rsidRPr="002B0B30">
        <w:t>az értékesítési csatorna</w:t>
      </w:r>
      <w:r w:rsidRPr="002B0B30">
        <w:t xml:space="preserve"> </w:t>
      </w:r>
      <w:r w:rsidR="007A3EC3" w:rsidRPr="008B2356">
        <w:t>az MNB</w:t>
      </w:r>
      <w:r w:rsidR="004B110A" w:rsidRPr="002B0B30">
        <w:t xml:space="preserve"> megítélése szerint </w:t>
      </w:r>
      <w:r w:rsidR="006B7AF1" w:rsidRPr="002B0B30">
        <w:t>Mérsékelten jelentős kockázatot hordoz magában</w:t>
      </w:r>
      <w:r w:rsidR="004B110A" w:rsidRPr="002B0B30">
        <w:t xml:space="preserve">. </w:t>
      </w:r>
      <w:r w:rsidRPr="002B0B30">
        <w:t xml:space="preserve">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ED3E3D" w:rsidRPr="003168BA" w14:paraId="075B6095" w14:textId="77777777" w:rsidTr="00300DCA">
        <w:tc>
          <w:tcPr>
            <w:tcW w:w="3061" w:type="dxa"/>
          </w:tcPr>
          <w:p w14:paraId="4ECC3AA8" w14:textId="77777777" w:rsidR="001653AA" w:rsidRDefault="001653AA" w:rsidP="00300DCA">
            <w:pPr>
              <w:spacing w:after="0" w:line="240" w:lineRule="auto"/>
              <w:contextualSpacing w:val="0"/>
              <w:jc w:val="center"/>
              <w:rPr>
                <w:rFonts w:eastAsia="Times New Roman" w:cs="Times New Roman"/>
                <w:b/>
                <w:color w:val="000000"/>
                <w:sz w:val="18"/>
                <w:szCs w:val="18"/>
              </w:rPr>
            </w:pPr>
          </w:p>
          <w:p w14:paraId="5172EB19" w14:textId="31BA2FE5" w:rsidR="00ED3E3D" w:rsidRPr="00554E41" w:rsidRDefault="00ED3E3D"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40B1FD9E" w14:textId="77777777" w:rsidR="00ED3E3D" w:rsidRPr="00554E41" w:rsidRDefault="00ED3E3D"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ED3E3D" w:rsidRPr="003168BA" w14:paraId="179F9A6B" w14:textId="77777777" w:rsidTr="00300DCA">
        <w:tc>
          <w:tcPr>
            <w:tcW w:w="3061" w:type="dxa"/>
            <w:shd w:val="clear" w:color="auto" w:fill="auto"/>
          </w:tcPr>
          <w:p w14:paraId="5794E0DC" w14:textId="77777777" w:rsidR="00ED3E3D" w:rsidRPr="00554E41" w:rsidRDefault="00ED3E3D"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FFFF00"/>
          </w:tcPr>
          <w:p w14:paraId="058342A0" w14:textId="77777777" w:rsidR="00ED3E3D" w:rsidRPr="00554E41" w:rsidRDefault="00ED3E3D"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r w:rsidR="00ED3E3D" w14:paraId="1EB2ADEC" w14:textId="77777777" w:rsidTr="00300DCA">
        <w:tc>
          <w:tcPr>
            <w:tcW w:w="3061" w:type="dxa"/>
            <w:shd w:val="clear" w:color="auto" w:fill="auto"/>
          </w:tcPr>
          <w:p w14:paraId="60F3A760" w14:textId="77777777" w:rsidR="00ED3E3D" w:rsidRPr="00554E41" w:rsidRDefault="00ED3E3D"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FFFF00"/>
          </w:tcPr>
          <w:p w14:paraId="7E690A07" w14:textId="77777777" w:rsidR="00ED3E3D" w:rsidRPr="00554E41" w:rsidRDefault="00ED3E3D"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r w:rsidR="00ED3E3D" w14:paraId="5F556B19" w14:textId="77777777" w:rsidTr="00300DCA">
        <w:trPr>
          <w:trHeight w:val="50"/>
        </w:trPr>
        <w:tc>
          <w:tcPr>
            <w:tcW w:w="3061" w:type="dxa"/>
            <w:shd w:val="clear" w:color="auto" w:fill="auto"/>
          </w:tcPr>
          <w:p w14:paraId="47C7087B" w14:textId="77777777" w:rsidR="00ED3E3D" w:rsidRPr="00554E41" w:rsidRDefault="00ED3E3D"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Földrajzi</w:t>
            </w:r>
          </w:p>
        </w:tc>
        <w:tc>
          <w:tcPr>
            <w:tcW w:w="3035" w:type="dxa"/>
            <w:shd w:val="clear" w:color="auto" w:fill="FFC000"/>
          </w:tcPr>
          <w:p w14:paraId="399D370B" w14:textId="77777777" w:rsidR="00ED3E3D" w:rsidRPr="00554E41" w:rsidRDefault="00ED3E3D"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Jelentős</w:t>
            </w:r>
          </w:p>
        </w:tc>
      </w:tr>
      <w:tr w:rsidR="00ED3E3D" w14:paraId="0C980747" w14:textId="77777777" w:rsidTr="00300DCA">
        <w:tc>
          <w:tcPr>
            <w:tcW w:w="3061" w:type="dxa"/>
            <w:shd w:val="clear" w:color="auto" w:fill="auto"/>
          </w:tcPr>
          <w:p w14:paraId="6AFA9092" w14:textId="77777777" w:rsidR="00ED3E3D" w:rsidRPr="00554E41" w:rsidRDefault="00ED3E3D"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csatolna</w:t>
            </w:r>
          </w:p>
        </w:tc>
        <w:tc>
          <w:tcPr>
            <w:tcW w:w="3035" w:type="dxa"/>
            <w:shd w:val="clear" w:color="auto" w:fill="FFFF00"/>
          </w:tcPr>
          <w:p w14:paraId="29891FDC" w14:textId="77777777" w:rsidR="00ED3E3D" w:rsidRPr="00554E41" w:rsidRDefault="00ED3E3D"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bl>
    <w:p w14:paraId="6C190D1E" w14:textId="6700022F" w:rsidR="00253FBA" w:rsidRDefault="00253FBA" w:rsidP="00C63813">
      <w:pPr>
        <w:spacing w:before="120"/>
      </w:pPr>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az illetékes hatóságok szerint a fő tényezők, amelyek a szektort ML/</w:t>
      </w:r>
      <w:proofErr w:type="spellStart"/>
      <w:r w:rsidRPr="00A07F4E">
        <w:t>TF</w:t>
      </w:r>
      <w:proofErr w:type="spellEnd"/>
      <w:r w:rsidRPr="00A07F4E">
        <w:t xml:space="preserve"> kockázatoknak teszik ki, a forgalmazási csatornákhoz kapcsolódnak. Ennek oka, hogy az ágazatban gyakori </w:t>
      </w:r>
      <w:r w:rsidR="006324B7">
        <w:t>más személyek</w:t>
      </w:r>
      <w:r w:rsidRPr="00A07F4E">
        <w:t xml:space="preserve"> alkalmazása a forgalmazási láncban, ami megnehezítheti a megfelelő </w:t>
      </w:r>
      <w:proofErr w:type="spellStart"/>
      <w:r w:rsidRPr="00A07F4E">
        <w:t>AML</w:t>
      </w:r>
      <w:proofErr w:type="spellEnd"/>
      <w:r w:rsidRPr="00A07F4E">
        <w:t>/</w:t>
      </w:r>
      <w:proofErr w:type="spellStart"/>
      <w:r w:rsidRPr="00A07F4E">
        <w:t>CFT</w:t>
      </w:r>
      <w:proofErr w:type="spellEnd"/>
      <w:r w:rsidRPr="00A07F4E">
        <w:t xml:space="preserve"> ellenőrzést és felügyeletet.</w:t>
      </w:r>
    </w:p>
    <w:p w14:paraId="2BCD06CC" w14:textId="34FC7D11" w:rsidR="00BD35E9" w:rsidRPr="00A07F4E" w:rsidRDefault="00BD35E9" w:rsidP="00EA5CBD">
      <w:r w:rsidRPr="00BD35E9">
        <w:t xml:space="preserve">A nemzetközi gyakorlatban kockázatként került </w:t>
      </w:r>
      <w:r>
        <w:t xml:space="preserve">továbbá </w:t>
      </w:r>
      <w:r w:rsidRPr="00BD35E9">
        <w:t>detektálásra az előre fizetett ún. prepaid kártyákkal kapcsolatban, amikor az ügyfél által birtokolt kártyák száma nem kerül korlátozásra, amely növeli az ML/</w:t>
      </w:r>
      <w:proofErr w:type="spellStart"/>
      <w:r w:rsidRPr="00BD35E9">
        <w:t>TF</w:t>
      </w:r>
      <w:proofErr w:type="spellEnd"/>
      <w:r w:rsidRPr="00BD35E9">
        <w:t xml:space="preserve"> kockázatot. Bár az előre fizetett kártyák gyakran kis értékűek, azonban a kockázatot növelheti, ha a szolgáltató által kínált termékek nagy értékű vagy korlátlan értékű fizetést, feltöltést vagy visszaváltást tesznek lehetővé, beleértve a készpénzfelvételt is.</w:t>
      </w:r>
    </w:p>
    <w:p w14:paraId="18191AA8" w14:textId="4929AA37" w:rsidR="00C324C8" w:rsidRDefault="00BE4282" w:rsidP="00EA5CBD">
      <w:r w:rsidRPr="00A07F4E">
        <w:t>A</w:t>
      </w:r>
      <w:r w:rsidR="00456429">
        <w:t>z MNB</w:t>
      </w:r>
      <w:r w:rsidRPr="00A07F4E">
        <w:t xml:space="preserve"> kockázatosnak találja, hogy a tagállamok eltérően szabályozzák az </w:t>
      </w:r>
      <w:r w:rsidR="0093635D" w:rsidRPr="00A07F4E">
        <w:t xml:space="preserve">online </w:t>
      </w:r>
      <w:r w:rsidRPr="00A07F4E">
        <w:t xml:space="preserve">ügyfélkapcsolatok létesítését, </w:t>
      </w:r>
      <w:r w:rsidR="0093635D" w:rsidRPr="00A07F4E">
        <w:t xml:space="preserve">így </w:t>
      </w:r>
      <w:r w:rsidRPr="00A07F4E">
        <w:t xml:space="preserve">Magyarországon határon átnyúló szolgáltatás </w:t>
      </w:r>
      <w:r w:rsidR="0093635D" w:rsidRPr="00A07F4E">
        <w:t>útján tevékenykedő</w:t>
      </w:r>
      <w:r w:rsidRPr="00A07F4E">
        <w:t xml:space="preserve"> egyes szolgáltatók</w:t>
      </w:r>
      <w:r w:rsidR="00E161E8" w:rsidRPr="00A07F4E">
        <w:t xml:space="preserve"> más tagállam joghatálya alá tartoznak</w:t>
      </w:r>
      <w:r w:rsidR="0093635D" w:rsidRPr="00A07F4E">
        <w:t>, amely miatt eltérés és verseny alakul ki a külföldi és a magyar szolgáltatók között</w:t>
      </w:r>
      <w:r w:rsidR="009A2D67" w:rsidRPr="00A07F4E">
        <w:t xml:space="preserve"> és ebből az eltérésből eredő kockázat befolyásolja a szektor inherens kockázatát</w:t>
      </w:r>
      <w:r w:rsidR="0093635D" w:rsidRPr="00A07F4E">
        <w:t xml:space="preserve">.  </w:t>
      </w:r>
    </w:p>
    <w:p w14:paraId="3E223795" w14:textId="13AC48FB" w:rsidR="0036135D" w:rsidRPr="00A07F4E" w:rsidRDefault="00BE4282" w:rsidP="00BE4282">
      <w:r w:rsidRPr="00A07F4E">
        <w:t>A</w:t>
      </w:r>
      <w:r w:rsidR="0036135D" w:rsidRPr="00A07F4E">
        <w:t xml:space="preserve">z </w:t>
      </w:r>
      <w:proofErr w:type="spellStart"/>
      <w:r w:rsidR="0036135D" w:rsidRPr="00A07F4E">
        <w:t>EBA</w:t>
      </w:r>
      <w:proofErr w:type="spellEnd"/>
      <w:r w:rsidR="0036135D" w:rsidRPr="00A07F4E">
        <w:t xml:space="preserve"> </w:t>
      </w:r>
      <w:proofErr w:type="spellStart"/>
      <w:r w:rsidR="0036135D" w:rsidRPr="00A07F4E">
        <w:t>Opinion</w:t>
      </w:r>
      <w:proofErr w:type="spellEnd"/>
      <w:r w:rsidR="0036135D" w:rsidRPr="00A07F4E">
        <w:t xml:space="preserve"> alapján, az illetékes hatóságok </w:t>
      </w:r>
      <w:r w:rsidRPr="00A07F4E">
        <w:t xml:space="preserve">rámutattak arra, hogy </w:t>
      </w:r>
      <w:r w:rsidR="0036135D" w:rsidRPr="00A07F4E">
        <w:t>a szektor</w:t>
      </w:r>
      <w:r w:rsidRPr="00A07F4E">
        <w:t xml:space="preserve"> nagymértékben támaszkodik a nem személyes azonosítási folyamatokra. A </w:t>
      </w:r>
      <w:proofErr w:type="spellStart"/>
      <w:r w:rsidR="00821C4F" w:rsidRPr="00A07F4E">
        <w:t>R</w:t>
      </w:r>
      <w:r w:rsidRPr="00A07F4E">
        <w:t>eg</w:t>
      </w:r>
      <w:r w:rsidR="00821C4F" w:rsidRPr="00A07F4E">
        <w:t>T</w:t>
      </w:r>
      <w:r w:rsidRPr="00A07F4E">
        <w:t>ech</w:t>
      </w:r>
      <w:proofErr w:type="spellEnd"/>
      <w:r w:rsidRPr="00A07F4E">
        <w:t xml:space="preserve"> megoldásokat számos </w:t>
      </w:r>
      <w:r w:rsidR="0036135D" w:rsidRPr="00A07F4E">
        <w:t>hatóság</w:t>
      </w:r>
      <w:r w:rsidRPr="00A07F4E">
        <w:t xml:space="preserve"> kulcsfontosságú jelenlegi kockázatként jelölte meg, </w:t>
      </w:r>
      <w:r w:rsidR="000F5ED9" w:rsidRPr="00A07F4E">
        <w:t>az IT</w:t>
      </w:r>
      <w:r w:rsidRPr="00A07F4E">
        <w:t xml:space="preserve"> csalás és a hamis dokumentumok használatának megnövekedett kockázatával. Ez más kockázati tényezőkkel együtt, mint például az ügyfél viszonylagos anonimitása az </w:t>
      </w:r>
      <w:r w:rsidR="00F33903">
        <w:t>Irányelv</w:t>
      </w:r>
      <w:r w:rsidR="00F33903">
        <w:rPr>
          <w:rStyle w:val="Lbjegyzet-hivatkozs"/>
        </w:rPr>
        <w:footnoteReference w:id="11"/>
      </w:r>
      <w:r w:rsidR="00F33903" w:rsidRPr="00A07F4E">
        <w:t xml:space="preserve"> </w:t>
      </w:r>
      <w:r w:rsidRPr="00A07F4E">
        <w:t>szerinti mentességeket élvező egyes termékek esetében, az elektronikuspénz-tranzakciók egyszerűsége és gyorsasága, valamint az ML/</w:t>
      </w:r>
      <w:proofErr w:type="spellStart"/>
      <w:r w:rsidRPr="00A07F4E">
        <w:t>TF</w:t>
      </w:r>
      <w:proofErr w:type="spellEnd"/>
      <w:r w:rsidRPr="00A07F4E">
        <w:t xml:space="preserve"> kockázatokkal </w:t>
      </w:r>
      <w:r w:rsidRPr="00A07F4E">
        <w:lastRenderedPageBreak/>
        <w:t xml:space="preserve">kapcsolatos gyenge általános tudatosság, hozzájárult a megnövekedett kockázati profilhoz. </w:t>
      </w:r>
      <w:r w:rsidR="0036135D" w:rsidRPr="00A07F4E">
        <w:t>Ezen kockázatok</w:t>
      </w:r>
      <w:r w:rsidR="006D4373">
        <w:t xml:space="preserve"> </w:t>
      </w:r>
      <w:r w:rsidR="0036135D" w:rsidRPr="00A07F4E">
        <w:t xml:space="preserve">is </w:t>
      </w:r>
      <w:r w:rsidR="00B733EA" w:rsidRPr="00A07F4E">
        <w:t>figyelembevételre</w:t>
      </w:r>
      <w:r w:rsidR="006D4373">
        <w:t xml:space="preserve"> kerültek</w:t>
      </w:r>
      <w:r w:rsidR="00B733EA">
        <w:t xml:space="preserve"> </w:t>
      </w:r>
      <w:r w:rsidR="0036135D" w:rsidRPr="00A07F4E">
        <w:t xml:space="preserve">jelen szektor értékelésénél. </w:t>
      </w:r>
    </w:p>
    <w:p w14:paraId="41BB3136" w14:textId="26DC5464" w:rsidR="00BE4282" w:rsidRDefault="00BE4282" w:rsidP="00BE4282">
      <w:r w:rsidRPr="00A07F4E">
        <w:t>A</w:t>
      </w:r>
      <w:r w:rsidR="0036135D" w:rsidRPr="00A07F4E">
        <w:t xml:space="preserve">z illetékes hatóságok </w:t>
      </w:r>
      <w:r w:rsidRPr="00A07F4E">
        <w:t>külön aggodalmukat fejezték ki az előre fizetett kártyákkal kapcsolatban, amikor az ügyfél által birtokolt kártyák száma ne</w:t>
      </w:r>
      <w:r w:rsidR="0036135D" w:rsidRPr="00A07F4E">
        <w:t>m kerül korlátozásra</w:t>
      </w:r>
      <w:r w:rsidRPr="00A07F4E">
        <w:t xml:space="preserve">, </w:t>
      </w:r>
      <w:r w:rsidR="0036135D" w:rsidRPr="00A07F4E">
        <w:t xml:space="preserve">amely </w:t>
      </w:r>
      <w:r w:rsidRPr="00A07F4E">
        <w:t>növel</w:t>
      </w:r>
      <w:r w:rsidR="0036135D" w:rsidRPr="00A07F4E">
        <w:t>i</w:t>
      </w:r>
      <w:r w:rsidRPr="00A07F4E">
        <w:t xml:space="preserve"> az ML</w:t>
      </w:r>
      <w:r w:rsidR="0036135D" w:rsidRPr="00A07F4E">
        <w:t>/</w:t>
      </w:r>
      <w:proofErr w:type="spellStart"/>
      <w:r w:rsidRPr="00A07F4E">
        <w:t>TF</w:t>
      </w:r>
      <w:proofErr w:type="spellEnd"/>
      <w:r w:rsidR="00821C4F" w:rsidRPr="00A07F4E">
        <w:t xml:space="preserve"> </w:t>
      </w:r>
      <w:r w:rsidRPr="00A07F4E">
        <w:t xml:space="preserve">kockázatot. Bár az előre fizetett kártyák gyakran kis értékűek, </w:t>
      </w:r>
      <w:r w:rsidR="00821C4F" w:rsidRPr="00A07F4E">
        <w:t xml:space="preserve">azonban </w:t>
      </w:r>
      <w:r w:rsidRPr="00A07F4E">
        <w:t xml:space="preserve">a kockázatot növelheti, ha </w:t>
      </w:r>
      <w:r w:rsidR="008C1A55">
        <w:t>a szolgáltatók</w:t>
      </w:r>
      <w:r w:rsidRPr="00A07F4E">
        <w:t xml:space="preserve"> által kínált termékek nagy értékű vagy korlátlan értékű fizetést, feltöltést vagy visszaváltást tesznek lehetővé, beleértve a készpénzfelvételt is. Ehhez kapcsolódó kockázatot jelentenek egyes </w:t>
      </w:r>
      <w:r w:rsidR="0036135D" w:rsidRPr="00A07F4E">
        <w:t xml:space="preserve">szektorhoz tartozó </w:t>
      </w:r>
      <w:r w:rsidR="00A37D9D">
        <w:t>szolgáltatók</w:t>
      </w:r>
      <w:r w:rsidR="00A37D9D" w:rsidRPr="00A07F4E">
        <w:t xml:space="preserve"> </w:t>
      </w:r>
      <w:r w:rsidRPr="00A07F4E">
        <w:t>szoros kapcsolatai az online szerencsejáték</w:t>
      </w:r>
      <w:r w:rsidR="0036135D" w:rsidRPr="00A07F4E">
        <w:t>okkal, illetve</w:t>
      </w:r>
      <w:r w:rsidRPr="00A07F4E">
        <w:t xml:space="preserve"> más, magas kockázatú tevékenységekkel.</w:t>
      </w:r>
    </w:p>
    <w:p w14:paraId="455BB58A" w14:textId="77777777" w:rsidR="00423E3B" w:rsidRPr="00A07F4E" w:rsidRDefault="00423E3B" w:rsidP="00A07F4E">
      <w:pPr>
        <w:pStyle w:val="Listaszerbekezds"/>
        <w:numPr>
          <w:ilvl w:val="1"/>
          <w:numId w:val="12"/>
        </w:numPr>
        <w:ind w:left="851" w:hanging="284"/>
      </w:pPr>
      <w:r w:rsidRPr="00A07F4E">
        <w:t>Az elektronikuspénz-kibocsátó</w:t>
      </w:r>
      <w:r w:rsidR="008C1A55">
        <w:t xml:space="preserve"> szolgáltatói</w:t>
      </w:r>
      <w:r w:rsidRPr="00A07F4E">
        <w:t xml:space="preserve"> szektorban rejlő, határokon átnyúló ML/</w:t>
      </w:r>
      <w:proofErr w:type="spellStart"/>
      <w:r w:rsidRPr="00A07F4E">
        <w:t>TF</w:t>
      </w:r>
      <w:proofErr w:type="spellEnd"/>
      <w:r w:rsidRPr="00A07F4E">
        <w:t xml:space="preserve"> kockázatok</w:t>
      </w:r>
    </w:p>
    <w:p w14:paraId="6A504F90" w14:textId="77777777" w:rsidR="00282A31" w:rsidRPr="00A07F4E" w:rsidRDefault="00282A31" w:rsidP="00282A31">
      <w:r w:rsidRPr="00A07F4E">
        <w:t xml:space="preserve">Az elektronikus-pénz kibocsátó </w:t>
      </w:r>
      <w:r w:rsidR="008C1A55">
        <w:t>szolgáltatói</w:t>
      </w:r>
      <w:r w:rsidR="008C1A55" w:rsidRPr="00A07F4E">
        <w:t xml:space="preserve"> </w:t>
      </w:r>
      <w:r w:rsidRPr="00A07F4E">
        <w:t xml:space="preserve">szektorra </w:t>
      </w:r>
      <w:r w:rsidR="00D861CC" w:rsidRPr="00A07F4E">
        <w:t>részben</w:t>
      </w:r>
      <w:r w:rsidRPr="00A07F4E">
        <w:t xml:space="preserve"> jellemző a külföldi érintettség, </w:t>
      </w:r>
      <w:r w:rsidR="00D861CC" w:rsidRPr="00A07F4E">
        <w:t xml:space="preserve">azonban </w:t>
      </w:r>
      <w:r w:rsidRPr="00A07F4E">
        <w:t xml:space="preserve">tipikusan magyar ügyfelekkel rendelkezik a szektor Magyarországon. </w:t>
      </w:r>
    </w:p>
    <w:p w14:paraId="26093EC0" w14:textId="1AD593D4" w:rsidR="003A3500" w:rsidRPr="00A07F4E" w:rsidRDefault="003A3500" w:rsidP="00BE4282">
      <w:pPr>
        <w:rPr>
          <w:b/>
          <w:bCs/>
        </w:rPr>
      </w:pPr>
      <w:r w:rsidRPr="00A07F4E">
        <w:rPr>
          <w:b/>
          <w:bCs/>
        </w:rPr>
        <w:t>A</w:t>
      </w:r>
      <w:r w:rsidR="00E05E2E">
        <w:rPr>
          <w:b/>
          <w:bCs/>
        </w:rPr>
        <w:t xml:space="preserve">z </w:t>
      </w:r>
      <w:r w:rsidRPr="00A07F4E">
        <w:rPr>
          <w:b/>
          <w:bCs/>
        </w:rPr>
        <w:t xml:space="preserve">előzetes felmérése alapján az elektronikuspénz-kibocsátó </w:t>
      </w:r>
      <w:r w:rsidR="00A37D9D">
        <w:rPr>
          <w:b/>
          <w:bCs/>
        </w:rPr>
        <w:t xml:space="preserve">szolgáltatói </w:t>
      </w:r>
      <w:r w:rsidRPr="00A07F4E">
        <w:rPr>
          <w:b/>
          <w:bCs/>
        </w:rPr>
        <w:t xml:space="preserve">szektor </w:t>
      </w:r>
      <w:r w:rsidR="00821C4F" w:rsidRPr="00A07F4E">
        <w:rPr>
          <w:b/>
          <w:bCs/>
        </w:rPr>
        <w:t xml:space="preserve">Magyarországon </w:t>
      </w:r>
      <w:r w:rsidRPr="00A07F4E">
        <w:rPr>
          <w:b/>
          <w:bCs/>
        </w:rPr>
        <w:t xml:space="preserve">Mérsékelten jelentős kockázatot rejt magában. </w:t>
      </w:r>
    </w:p>
    <w:tbl>
      <w:tblPr>
        <w:tblW w:w="4040" w:type="dxa"/>
        <w:tblInd w:w="2746" w:type="dxa"/>
        <w:tblCellMar>
          <w:left w:w="70" w:type="dxa"/>
          <w:right w:w="70" w:type="dxa"/>
        </w:tblCellMar>
        <w:tblLook w:val="04A0" w:firstRow="1" w:lastRow="0" w:firstColumn="1" w:lastColumn="0" w:noHBand="0" w:noVBand="1"/>
      </w:tblPr>
      <w:tblGrid>
        <w:gridCol w:w="2140"/>
        <w:gridCol w:w="1900"/>
      </w:tblGrid>
      <w:tr w:rsidR="00282A31" w:rsidRPr="00A07F4E" w14:paraId="74261974" w14:textId="77777777" w:rsidTr="00FC10F8">
        <w:trPr>
          <w:trHeight w:val="300"/>
        </w:trPr>
        <w:tc>
          <w:tcPr>
            <w:tcW w:w="2140" w:type="dxa"/>
            <w:tcBorders>
              <w:top w:val="nil"/>
              <w:left w:val="nil"/>
              <w:bottom w:val="nil"/>
              <w:right w:val="nil"/>
            </w:tcBorders>
            <w:shd w:val="clear" w:color="auto" w:fill="auto"/>
            <w:noWrap/>
            <w:vAlign w:val="center"/>
            <w:hideMark/>
          </w:tcPr>
          <w:p w14:paraId="4BB913C1" w14:textId="77777777" w:rsidR="00282A31" w:rsidRPr="00A07F4E" w:rsidRDefault="00282A31" w:rsidP="00FC10F8">
            <w:pPr>
              <w:spacing w:after="0" w:line="240" w:lineRule="auto"/>
              <w:jc w:val="center"/>
              <w:rPr>
                <w:rFonts w:eastAsia="Times New Roman" w:cs="Calibri"/>
                <w:b/>
                <w:bCs/>
                <w:color w:val="000000"/>
              </w:rPr>
            </w:pPr>
            <w:r w:rsidRPr="00A07F4E">
              <w:rPr>
                <w:rFonts w:eastAsia="Times New Roman" w:cs="Calibri"/>
                <w:b/>
                <w:bCs/>
                <w:color w:val="000000"/>
              </w:rPr>
              <w:t>Inherens kockázat:</w:t>
            </w:r>
            <w:r w:rsidRPr="00A07F4E">
              <w:rPr>
                <w:rFonts w:eastAsia="Times New Roman" w:cs="Calibri"/>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637C24F" w14:textId="77777777" w:rsidR="00282A31" w:rsidRPr="00A07F4E" w:rsidRDefault="00282A31" w:rsidP="00FC10F8">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bl>
    <w:p w14:paraId="74AB5F4A" w14:textId="77777777" w:rsidR="00282A31" w:rsidRPr="00A07F4E" w:rsidRDefault="00282A31" w:rsidP="00BE4282"/>
    <w:p w14:paraId="6D73864D" w14:textId="77777777" w:rsidR="00972EC3" w:rsidRPr="00A07F4E" w:rsidRDefault="00972EC3" w:rsidP="00A07F4E">
      <w:pPr>
        <w:pStyle w:val="Cmsor3"/>
        <w:numPr>
          <w:ilvl w:val="0"/>
          <w:numId w:val="100"/>
        </w:numPr>
      </w:pPr>
      <w:bookmarkStart w:id="91" w:name="_Toc109906025"/>
      <w:r w:rsidRPr="00A07F4E">
        <w:t>Az ellenőrzések minősége</w:t>
      </w:r>
      <w:bookmarkEnd w:id="91"/>
    </w:p>
    <w:p w14:paraId="4A2A72F5" w14:textId="13F3A279" w:rsidR="007A2410" w:rsidRPr="00A07F4E" w:rsidRDefault="003353E0" w:rsidP="00972EC3">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az illetékes társhatóságok leginkább a folyamatos </w:t>
      </w:r>
      <w:proofErr w:type="spellStart"/>
      <w:r w:rsidRPr="00A07F4E">
        <w:t>monitoringhoz</w:t>
      </w:r>
      <w:proofErr w:type="spellEnd"/>
      <w:r w:rsidRPr="00A07F4E">
        <w:t xml:space="preserve"> kapcsolódó politikáknak és eljárásoknak a hatékonyságában és az </w:t>
      </w:r>
      <w:r w:rsidR="002C73BD">
        <w:t>bej</w:t>
      </w:r>
      <w:r w:rsidRPr="00A07F4E">
        <w:t>elentések hatékonyságában találtak kifogásolni</w:t>
      </w:r>
      <w:r w:rsidR="00D861CC" w:rsidRPr="00A07F4E">
        <w:t xml:space="preserve"> </w:t>
      </w:r>
      <w:r w:rsidRPr="00A07F4E">
        <w:t xml:space="preserve">valót. További aggályokat fogalmaztak </w:t>
      </w:r>
      <w:r w:rsidR="007A2410" w:rsidRPr="00A07F4E">
        <w:t xml:space="preserve">meg </w:t>
      </w:r>
      <w:r w:rsidR="00197277" w:rsidRPr="00A07F4E">
        <w:t>– a</w:t>
      </w:r>
      <w:r w:rsidR="00D36407">
        <w:t>z MNB</w:t>
      </w:r>
      <w:r w:rsidR="00197277" w:rsidRPr="00A07F4E">
        <w:t xml:space="preserve"> értékeléséhez hasonlóan – </w:t>
      </w:r>
      <w:r w:rsidRPr="00A07F4E">
        <w:t xml:space="preserve">továbbá az egész </w:t>
      </w:r>
      <w:r w:rsidR="008C1A55">
        <w:t>szolgáltatóra</w:t>
      </w:r>
      <w:r w:rsidR="008C1A55" w:rsidRPr="00A07F4E">
        <w:t xml:space="preserve"> </w:t>
      </w:r>
      <w:r w:rsidRPr="00A07F4E">
        <w:t>kiterjedő ML/</w:t>
      </w:r>
      <w:proofErr w:type="spellStart"/>
      <w:r w:rsidRPr="00A07F4E">
        <w:t>TF</w:t>
      </w:r>
      <w:proofErr w:type="spellEnd"/>
      <w:r w:rsidRPr="00A07F4E">
        <w:t xml:space="preserve"> kockázatértékelés minősége és az egyes üzleti kapcsolatokra alkalmazott ML/</w:t>
      </w:r>
      <w:proofErr w:type="spellStart"/>
      <w:r w:rsidRPr="00A07F4E">
        <w:t>TF</w:t>
      </w:r>
      <w:proofErr w:type="spellEnd"/>
      <w:r w:rsidRPr="00A07F4E">
        <w:t xml:space="preserve"> kockázatok értékelésének minőségével kapcsolatban.</w:t>
      </w:r>
      <w:r w:rsidR="007A2410" w:rsidRPr="00A07F4E">
        <w:t xml:space="preserve"> Az </w:t>
      </w:r>
      <w:proofErr w:type="spellStart"/>
      <w:r w:rsidR="007A2410" w:rsidRPr="00A07F4E">
        <w:t>EBA</w:t>
      </w:r>
      <w:proofErr w:type="spellEnd"/>
      <w:r w:rsidR="007A2410" w:rsidRPr="00A07F4E">
        <w:t xml:space="preserve"> </w:t>
      </w:r>
      <w:proofErr w:type="spellStart"/>
      <w:r w:rsidR="007A2410" w:rsidRPr="00A07F4E">
        <w:t>Opinion</w:t>
      </w:r>
      <w:proofErr w:type="spellEnd"/>
      <w:r w:rsidR="007A2410" w:rsidRPr="00A07F4E">
        <w:t xml:space="preserve"> kiemeli, hogy az </w:t>
      </w:r>
      <w:r w:rsidR="002C73BD">
        <w:t>be</w:t>
      </w:r>
      <w:r w:rsidR="007A2410" w:rsidRPr="00A07F4E">
        <w:t>jelentések hatékonysága továbbra is a legkevésbé értékelt kontrollok egyike, illetve a nyilvántartási politikák és eljárások megfelelőség</w:t>
      </w:r>
      <w:r w:rsidR="00346467" w:rsidRPr="00A07F4E">
        <w:t>ét</w:t>
      </w:r>
      <w:r w:rsidR="007A2410" w:rsidRPr="00A07F4E">
        <w:t>, valamint az ügyfél-azonosítási politikák és eljárások megfelelőség</w:t>
      </w:r>
      <w:r w:rsidR="00346467" w:rsidRPr="00A07F4E">
        <w:t>ét</w:t>
      </w:r>
      <w:r w:rsidR="007A2410" w:rsidRPr="00A07F4E">
        <w:t xml:space="preserve"> a legjobban értékelt kontrolloknak tekintették a hatóságok.</w:t>
      </w:r>
    </w:p>
    <w:p w14:paraId="59890242" w14:textId="77777777" w:rsidR="00C345CA" w:rsidRPr="00A07F4E" w:rsidRDefault="00C345CA" w:rsidP="00A07F4E">
      <w:pPr>
        <w:pStyle w:val="Cmsor3"/>
        <w:numPr>
          <w:ilvl w:val="0"/>
          <w:numId w:val="100"/>
        </w:numPr>
      </w:pPr>
      <w:bookmarkStart w:id="92" w:name="_Toc109906026"/>
      <w:r w:rsidRPr="00A07F4E">
        <w:t>Felügyeleti tevékenység</w:t>
      </w:r>
      <w:bookmarkEnd w:id="92"/>
    </w:p>
    <w:p w14:paraId="78289556" w14:textId="4554296A" w:rsidR="00C345CA" w:rsidRPr="00A07F4E" w:rsidRDefault="00C63567" w:rsidP="00C345CA">
      <w:r>
        <w:t>Az MNB</w:t>
      </w:r>
      <w:r w:rsidR="00C345CA" w:rsidRPr="00A07F4E">
        <w:t xml:space="preserve"> a Mérsékelten jelentős inherens kockázati besorolásra, illetve a kockázatalapú felügyelésre tekintettel </w:t>
      </w:r>
      <w:r w:rsidR="008B2356" w:rsidRPr="00A07F4E">
        <w:t>k</w:t>
      </w:r>
      <w:r w:rsidR="008B2356">
        <w:t>isebb</w:t>
      </w:r>
      <w:r w:rsidR="008B2356" w:rsidRPr="00A07F4E">
        <w:t xml:space="preserve"> </w:t>
      </w:r>
      <w:r w:rsidR="00C345CA" w:rsidRPr="00A07F4E">
        <w:t xml:space="preserve">hangsúlyt fektetett az elektronikus-pénz kibocsátó </w:t>
      </w:r>
      <w:r w:rsidR="00A37D9D">
        <w:t>szolgáltatói</w:t>
      </w:r>
      <w:r w:rsidR="00A37D9D" w:rsidRPr="00A07F4E">
        <w:t xml:space="preserve"> </w:t>
      </w:r>
      <w:r w:rsidR="00C345CA" w:rsidRPr="00A07F4E">
        <w:t xml:space="preserve">szektor </w:t>
      </w:r>
      <w:proofErr w:type="spellStart"/>
      <w:r w:rsidR="00F8020A" w:rsidRPr="00A07F4E">
        <w:t>on</w:t>
      </w:r>
      <w:proofErr w:type="spellEnd"/>
      <w:r w:rsidR="00F8020A" w:rsidRPr="00A07F4E">
        <w:t xml:space="preserve">-site </w:t>
      </w:r>
      <w:r w:rsidR="00C345CA" w:rsidRPr="00A07F4E">
        <w:t xml:space="preserve">vizsgálatára. Felügyeleti tevékenységét </w:t>
      </w:r>
      <w:proofErr w:type="spellStart"/>
      <w:r w:rsidR="00F8020A" w:rsidRPr="00A07F4E">
        <w:t>off</w:t>
      </w:r>
      <w:proofErr w:type="spellEnd"/>
      <w:r w:rsidR="00F8020A" w:rsidRPr="00A07F4E">
        <w:t xml:space="preserve">-site eszközökkel </w:t>
      </w:r>
      <w:r w:rsidR="00C345CA" w:rsidRPr="00A07F4E">
        <w:t xml:space="preserve">a negyedéves és éves kötelező adatszolgáltatások elemzésével és kiértékelésével látta el. </w:t>
      </w:r>
    </w:p>
    <w:p w14:paraId="47F5EBA5" w14:textId="24E2DB25" w:rsidR="0048366A" w:rsidRPr="00A07F4E" w:rsidRDefault="0048366A" w:rsidP="0048366A">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kiemelte, hogy a szektor felügyelete során az illetékes hatóságok a</w:t>
      </w:r>
      <w:r w:rsidR="00C63567">
        <w:t>z MNB</w:t>
      </w:r>
      <w:r w:rsidRPr="00A07F4E">
        <w:t xml:space="preserve">-hez hasonlóan leginkább az </w:t>
      </w:r>
      <w:proofErr w:type="spellStart"/>
      <w:r w:rsidRPr="00A07F4E">
        <w:t>off</w:t>
      </w:r>
      <w:proofErr w:type="spellEnd"/>
      <w:r w:rsidRPr="00A07F4E">
        <w:t xml:space="preserve">-site felügyeleti tevékenységekre támaszkodnak, főként az </w:t>
      </w:r>
      <w:proofErr w:type="spellStart"/>
      <w:r w:rsidRPr="00A07F4E">
        <w:t>AML</w:t>
      </w:r>
      <w:proofErr w:type="spellEnd"/>
      <w:r w:rsidRPr="00A07F4E">
        <w:t>/</w:t>
      </w:r>
      <w:proofErr w:type="spellStart"/>
      <w:r w:rsidRPr="00A07F4E">
        <w:t>CFT</w:t>
      </w:r>
      <w:proofErr w:type="spellEnd"/>
      <w:r w:rsidRPr="00A07F4E">
        <w:t xml:space="preserve"> jelentéseken keresztül. </w:t>
      </w:r>
    </w:p>
    <w:p w14:paraId="405DE5E5" w14:textId="77777777" w:rsidR="00C345CA" w:rsidRPr="00A07F4E" w:rsidRDefault="00C345CA" w:rsidP="00A07F4E">
      <w:pPr>
        <w:pStyle w:val="Cmsor3"/>
        <w:numPr>
          <w:ilvl w:val="0"/>
          <w:numId w:val="100"/>
        </w:numPr>
      </w:pPr>
      <w:bookmarkStart w:id="93" w:name="_Toc109906027"/>
      <w:r w:rsidRPr="00A07F4E">
        <w:t>Azonosított jogsértések</w:t>
      </w:r>
      <w:bookmarkEnd w:id="93"/>
    </w:p>
    <w:p w14:paraId="6D494A92" w14:textId="7E7AEEE6" w:rsidR="00C345CA" w:rsidRPr="00A07F4E" w:rsidRDefault="00C345CA" w:rsidP="00C345CA">
      <w:r w:rsidRPr="00A07F4E">
        <w:t xml:space="preserve">Az adatszolgáltatási kötelezettségek teljesítése során </w:t>
      </w:r>
      <w:r w:rsidR="005551A2">
        <w:t>az MNB</w:t>
      </w:r>
      <w:r w:rsidRPr="00A07F4E">
        <w:t xml:space="preserve"> jogsértést a szektorhoz tartozó szolgáltatók esetében nem észlelt. </w:t>
      </w:r>
    </w:p>
    <w:p w14:paraId="2FBEAEB6" w14:textId="77777777" w:rsidR="003B7FC2" w:rsidRPr="00A07F4E" w:rsidRDefault="005B7C9B" w:rsidP="00C345CA">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az i</w:t>
      </w:r>
      <w:r w:rsidR="00C8437D" w:rsidRPr="00A07F4E">
        <w:t xml:space="preserve">lletékes társhatóságok is kevés jogsértést azonosítottak, a szektorban a leggyakoribb jogsértések az ügyfél és a tényleges tulajdonos azonosításával és személyazonosságának ellenőrzésével, a belső ellenőrzésekkel és az általános </w:t>
      </w:r>
      <w:proofErr w:type="spellStart"/>
      <w:r w:rsidR="00C8437D" w:rsidRPr="00A07F4E">
        <w:t>AML</w:t>
      </w:r>
      <w:proofErr w:type="spellEnd"/>
      <w:r w:rsidR="00C8437D" w:rsidRPr="00A07F4E">
        <w:t>/</w:t>
      </w:r>
      <w:proofErr w:type="spellStart"/>
      <w:r w:rsidR="00C8437D" w:rsidRPr="00A07F4E">
        <w:t>CFT</w:t>
      </w:r>
      <w:proofErr w:type="spellEnd"/>
      <w:r w:rsidR="00C8437D" w:rsidRPr="00A07F4E">
        <w:t xml:space="preserve"> szabályokkal és eljárásokkal, a folyamatos </w:t>
      </w:r>
      <w:proofErr w:type="spellStart"/>
      <w:r w:rsidR="00C8437D" w:rsidRPr="00A07F4E">
        <w:t>monitoringgal</w:t>
      </w:r>
      <w:proofErr w:type="spellEnd"/>
      <w:r w:rsidR="00C8437D" w:rsidRPr="00A07F4E">
        <w:t xml:space="preserve">, ideértve a tranzakciók </w:t>
      </w:r>
      <w:r w:rsidRPr="00A07F4E">
        <w:t>monitoringját is</w:t>
      </w:r>
      <w:r w:rsidR="00C8437D" w:rsidRPr="00A07F4E">
        <w:t>, valamint az ügyf</w:t>
      </w:r>
      <w:r w:rsidRPr="00A07F4E">
        <w:t xml:space="preserve">elek </w:t>
      </w:r>
      <w:r w:rsidR="00C8437D" w:rsidRPr="00A07F4E">
        <w:t>kockázatértékelé</w:t>
      </w:r>
      <w:r w:rsidRPr="00A07F4E">
        <w:t>sével</w:t>
      </w:r>
      <w:r w:rsidR="00C8437D" w:rsidRPr="00A07F4E">
        <w:t xml:space="preserve"> voltak kapcsolatosak.</w:t>
      </w:r>
    </w:p>
    <w:p w14:paraId="120D396B" w14:textId="77777777" w:rsidR="00433374" w:rsidRPr="00A07F4E" w:rsidRDefault="00433374" w:rsidP="0041629D">
      <w:pPr>
        <w:pStyle w:val="Cmsor3"/>
        <w:numPr>
          <w:ilvl w:val="0"/>
          <w:numId w:val="100"/>
        </w:numPr>
      </w:pPr>
      <w:bookmarkStart w:id="94" w:name="_Toc109906028"/>
      <w:r w:rsidRPr="00A07F4E">
        <w:t>Maradványkockázat</w:t>
      </w:r>
      <w:bookmarkEnd w:id="94"/>
    </w:p>
    <w:p w14:paraId="20607732" w14:textId="2D4AAB3A" w:rsidR="00433374" w:rsidRPr="00A07F4E" w:rsidRDefault="008D6ABE" w:rsidP="00433374">
      <w:r>
        <w:t>Az MNB</w:t>
      </w:r>
      <w:r w:rsidR="00433374" w:rsidRPr="00A07F4E">
        <w:t xml:space="preserve"> </w:t>
      </w:r>
      <w:r w:rsidR="009669EC" w:rsidRPr="00A07F4E">
        <w:t xml:space="preserve">mérlegelve a szektor </w:t>
      </w:r>
      <w:r w:rsidR="0044724B" w:rsidRPr="00A07F4E">
        <w:t>vonatkozásában kifejtetteket a</w:t>
      </w:r>
      <w:r w:rsidR="00433374" w:rsidRPr="00A07F4E">
        <w:t xml:space="preserve"> maradványkockázatot</w:t>
      </w:r>
      <w:r>
        <w:t xml:space="preserve"> a szektor vonatkozásában</w:t>
      </w:r>
      <w:r w:rsidR="00433374" w:rsidRPr="00A07F4E">
        <w:t xml:space="preserve"> Mérsékelten jelentősnek értékeli. Az inherens kockázati besorolás megegyezik az </w:t>
      </w:r>
      <w:r w:rsidR="00AC11A2" w:rsidRPr="00A07F4E">
        <w:t xml:space="preserve">a maradvány </w:t>
      </w:r>
      <w:r w:rsidR="00433374" w:rsidRPr="00A07F4E">
        <w:t>kockázati besorolással, am</w:t>
      </w:r>
      <w:r w:rsidR="001E2D3D" w:rsidRPr="00A07F4E">
        <w:t>ely részben</w:t>
      </w:r>
      <w:r w:rsidR="00433374" w:rsidRPr="00A07F4E">
        <w:t xml:space="preserve"> arra a következtetésre vezet, hogy </w:t>
      </w:r>
      <w:r w:rsidR="00767C29" w:rsidRPr="00A07F4E">
        <w:t xml:space="preserve">a szektorban </w:t>
      </w:r>
      <w:r w:rsidR="00AC337B" w:rsidRPr="00A07F4E">
        <w:t>hatékonyabb ellenőrzésre van szükség</w:t>
      </w:r>
      <w:r w:rsidR="00433374" w:rsidRPr="00A07F4E">
        <w:t>.</w:t>
      </w:r>
    </w:p>
    <w:tbl>
      <w:tblPr>
        <w:tblW w:w="4040" w:type="dxa"/>
        <w:tblInd w:w="2746" w:type="dxa"/>
        <w:tblCellMar>
          <w:left w:w="70" w:type="dxa"/>
          <w:right w:w="70" w:type="dxa"/>
        </w:tblCellMar>
        <w:tblLook w:val="04A0" w:firstRow="1" w:lastRow="0" w:firstColumn="1" w:lastColumn="0" w:noHBand="0" w:noVBand="1"/>
      </w:tblPr>
      <w:tblGrid>
        <w:gridCol w:w="2140"/>
        <w:gridCol w:w="1900"/>
      </w:tblGrid>
      <w:tr w:rsidR="00AC11A2" w:rsidRPr="00A07F4E" w14:paraId="6A386A27" w14:textId="77777777" w:rsidTr="00AC11A2">
        <w:trPr>
          <w:trHeight w:val="300"/>
        </w:trPr>
        <w:tc>
          <w:tcPr>
            <w:tcW w:w="2140" w:type="dxa"/>
            <w:tcBorders>
              <w:top w:val="nil"/>
              <w:left w:val="nil"/>
              <w:bottom w:val="nil"/>
              <w:right w:val="nil"/>
            </w:tcBorders>
            <w:shd w:val="clear" w:color="auto" w:fill="auto"/>
            <w:noWrap/>
            <w:vAlign w:val="center"/>
            <w:hideMark/>
          </w:tcPr>
          <w:p w14:paraId="2FC96AEB" w14:textId="77777777" w:rsidR="00AC11A2" w:rsidRPr="00A07F4E" w:rsidRDefault="00AC11A2" w:rsidP="00AC11A2">
            <w:pPr>
              <w:spacing w:after="0" w:line="240" w:lineRule="auto"/>
              <w:jc w:val="center"/>
              <w:rPr>
                <w:rFonts w:eastAsia="Times New Roman" w:cs="Calibri"/>
                <w:b/>
                <w:bCs/>
                <w:color w:val="000000"/>
              </w:rPr>
            </w:pPr>
            <w:r w:rsidRPr="00A07F4E">
              <w:rPr>
                <w:rFonts w:eastAsia="Times New Roman" w:cs="Calibri"/>
                <w:b/>
                <w:bCs/>
                <w:color w:val="000000"/>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178439" w14:textId="77777777" w:rsidR="00AC11A2" w:rsidRPr="00A07F4E" w:rsidRDefault="00AC11A2" w:rsidP="00AC11A2">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bl>
    <w:p w14:paraId="5C88A31A" w14:textId="70E9AE46" w:rsidR="00C345CA" w:rsidRPr="00A07F4E" w:rsidRDefault="0066422E" w:rsidP="00AF43E2">
      <w:pPr>
        <w:pStyle w:val="Cmsor2"/>
      </w:pPr>
      <w:bookmarkStart w:id="95" w:name="_Toc109906029"/>
      <w:r w:rsidRPr="00A07F4E">
        <w:lastRenderedPageBreak/>
        <w:t>Pénzváltó</w:t>
      </w:r>
      <w:r w:rsidR="005849AD">
        <w:t xml:space="preserve"> irodák</w:t>
      </w:r>
      <w:r w:rsidR="00284D88">
        <w:rPr>
          <w:rStyle w:val="Lbjegyzet-hivatkozs"/>
        </w:rPr>
        <w:footnoteReference w:id="12"/>
      </w:r>
      <w:bookmarkEnd w:id="95"/>
      <w:r w:rsidRPr="00A07F4E">
        <w:t xml:space="preserve"> </w:t>
      </w:r>
    </w:p>
    <w:p w14:paraId="00E5F5FD" w14:textId="77777777" w:rsidR="005A337F" w:rsidRPr="00A07F4E" w:rsidRDefault="005A337F" w:rsidP="00A07F4E">
      <w:pPr>
        <w:pStyle w:val="Cmsor3"/>
        <w:numPr>
          <w:ilvl w:val="0"/>
          <w:numId w:val="110"/>
        </w:numPr>
      </w:pPr>
      <w:bookmarkStart w:id="96" w:name="_Toc109906030"/>
      <w:r w:rsidRPr="00A07F4E">
        <w:rPr>
          <w:bCs w:val="0"/>
        </w:rPr>
        <w:t>A szektor méretére, tevékenységi körére és összetettségére vonatkozó információk összesített formában</w:t>
      </w:r>
      <w:bookmarkEnd w:id="96"/>
    </w:p>
    <w:p w14:paraId="2590D71C" w14:textId="03B64BE9" w:rsidR="00C77065" w:rsidRDefault="00307BA5" w:rsidP="005A337F">
      <w:r>
        <w:t xml:space="preserve">A </w:t>
      </w:r>
      <w:r w:rsidR="005A337F" w:rsidRPr="00A07F4E">
        <w:t>Magyarországon tevékenységet folytató pénzváltó</w:t>
      </w:r>
      <w:r w:rsidR="005849AD">
        <w:t xml:space="preserve"> irodák</w:t>
      </w:r>
      <w:r w:rsidR="005A337F" w:rsidRPr="00A07F4E">
        <w:t xml:space="preserve"> száma</w:t>
      </w:r>
      <w:r w:rsidR="00FE089A" w:rsidRPr="00A07F4E">
        <w:t xml:space="preserve"> </w:t>
      </w:r>
      <w:r w:rsidR="002130DC" w:rsidRPr="00FC37B3" w:rsidDel="00307BA5">
        <w:t>1</w:t>
      </w:r>
      <w:r w:rsidR="002130DC" w:rsidRPr="00FC37B3">
        <w:t>30</w:t>
      </w:r>
      <w:r w:rsidR="002130DC" w:rsidRPr="00FC37B3" w:rsidDel="00307BA5">
        <w:t xml:space="preserve"> </w:t>
      </w:r>
      <w:r w:rsidR="00FE089A" w:rsidRPr="00FC37B3" w:rsidDel="00307BA5">
        <w:t xml:space="preserve">és </w:t>
      </w:r>
      <w:r w:rsidR="00A07F4E" w:rsidRPr="00FC37B3" w:rsidDel="00307BA5">
        <w:t>1</w:t>
      </w:r>
      <w:r w:rsidR="00FE089A" w:rsidRPr="00FC37B3" w:rsidDel="00307BA5">
        <w:t>50 közöttire tehető</w:t>
      </w:r>
      <w:r w:rsidRPr="00FC37B3">
        <w:t>.</w:t>
      </w:r>
      <w:r w:rsidR="005A337F" w:rsidRPr="00A07F4E">
        <w:t xml:space="preserve"> </w:t>
      </w:r>
      <w:r w:rsidR="00A37D9D">
        <w:t xml:space="preserve">A </w:t>
      </w:r>
      <w:r w:rsidR="00A37D9D" w:rsidDel="005849AD">
        <w:t>szolgáltatók</w:t>
      </w:r>
      <w:r w:rsidR="005A337F" w:rsidRPr="00A07F4E" w:rsidDel="005849AD">
        <w:t xml:space="preserve"> </w:t>
      </w:r>
      <w:r w:rsidR="005849AD">
        <w:t>pénzváltó</w:t>
      </w:r>
      <w:r w:rsidR="005849AD" w:rsidRPr="00A07F4E">
        <w:t xml:space="preserve"> </w:t>
      </w:r>
      <w:r w:rsidR="005849AD">
        <w:t xml:space="preserve">irodák </w:t>
      </w:r>
      <w:r w:rsidR="005849AD" w:rsidRPr="00A07F4E">
        <w:t>hitelintézet</w:t>
      </w:r>
      <w:r w:rsidR="005849AD">
        <w:t>ek megbízásából</w:t>
      </w:r>
      <w:r w:rsidR="005849AD" w:rsidRPr="00C123B0">
        <w:t xml:space="preserve"> </w:t>
      </w:r>
      <w:r w:rsidR="005849AD" w:rsidRPr="00A07F4E">
        <w:t>kiemelt közvetítő</w:t>
      </w:r>
      <w:r w:rsidR="005849AD">
        <w:t>i tevékenység</w:t>
      </w:r>
      <w:r w:rsidR="005849AD">
        <w:rPr>
          <w:rStyle w:val="Lbjegyzet-hivatkozs"/>
        </w:rPr>
        <w:footnoteReference w:id="13"/>
      </w:r>
      <w:r w:rsidR="005849AD">
        <w:t xml:space="preserve"> keretében végzik a </w:t>
      </w:r>
      <w:r w:rsidR="005A337F" w:rsidRPr="00A07F4E">
        <w:t>pénzváltási tevékenységet</w:t>
      </w:r>
      <w:r>
        <w:rPr>
          <w:rStyle w:val="Lbjegyzet-hivatkozs"/>
        </w:rPr>
        <w:footnoteReference w:id="14"/>
      </w:r>
      <w:r w:rsidR="005A337F" w:rsidRPr="00A07F4E" w:rsidDel="00BC05C3">
        <w:t xml:space="preserve">. </w:t>
      </w:r>
      <w:r w:rsidR="005A337F" w:rsidRPr="00A07F4E" w:rsidDel="005849AD">
        <w:t>A pénzváltó</w:t>
      </w:r>
      <w:r w:rsidR="008E7327">
        <w:t xml:space="preserve"> irodák</w:t>
      </w:r>
      <w:r w:rsidR="005A337F" w:rsidRPr="00A07F4E" w:rsidDel="005849AD">
        <w:t xml:space="preserve"> </w:t>
      </w:r>
      <w:r w:rsidR="005A337F" w:rsidRPr="00A07F4E" w:rsidDel="00C123B0">
        <w:t xml:space="preserve">a </w:t>
      </w:r>
      <w:r w:rsidR="005A337F" w:rsidRPr="00A07F4E" w:rsidDel="005849AD">
        <w:t>hitelintézet</w:t>
      </w:r>
      <w:r w:rsidR="005A337F" w:rsidRPr="00A07F4E" w:rsidDel="00BC05C3">
        <w:t xml:space="preserve">i szektor </w:t>
      </w:r>
      <w:r w:rsidR="00A37D9D" w:rsidDel="00BC05C3">
        <w:t>szolgáltatóinak</w:t>
      </w:r>
      <w:r w:rsidR="00A37D9D" w:rsidRPr="00A07F4E" w:rsidDel="00BC05C3">
        <w:t xml:space="preserve"> </w:t>
      </w:r>
      <w:r w:rsidR="005A337F" w:rsidRPr="00A07F4E" w:rsidDel="00BC05C3">
        <w:t xml:space="preserve">a </w:t>
      </w:r>
      <w:r w:rsidR="005A337F" w:rsidRPr="00A07F4E" w:rsidDel="00C123B0">
        <w:t>kiemelt közvetítő</w:t>
      </w:r>
      <w:r w:rsidR="005A337F" w:rsidRPr="00A07F4E" w:rsidDel="00BC05C3">
        <w:t>jeként kerülnek Magyarországon engedélyezésre</w:t>
      </w:r>
      <w:r w:rsidR="005A337F" w:rsidRPr="00A07F4E">
        <w:t xml:space="preserve">. </w:t>
      </w:r>
      <w:r w:rsidR="00C77065">
        <w:t xml:space="preserve">A hazai piacon </w:t>
      </w:r>
      <w:r w:rsidR="008E7327">
        <w:t>működő pénzváltói szektor</w:t>
      </w:r>
      <w:r w:rsidR="00C77065">
        <w:t xml:space="preserve"> </w:t>
      </w:r>
      <w:r w:rsidR="00EC4429">
        <w:t>jelenleg</w:t>
      </w:r>
      <w:r w:rsidR="005849AD">
        <w:t xml:space="preserve"> három</w:t>
      </w:r>
      <w:r w:rsidR="00C77065" w:rsidRPr="00C77065">
        <w:t xml:space="preserve"> hitelintézet</w:t>
      </w:r>
      <w:r w:rsidR="00EC4429">
        <w:t xml:space="preserve">hez </w:t>
      </w:r>
      <w:r w:rsidR="008E7327">
        <w:t>köthető.</w:t>
      </w:r>
    </w:p>
    <w:p w14:paraId="459429A1" w14:textId="77777777" w:rsidR="009365E1" w:rsidRPr="00A07F4E" w:rsidRDefault="009365E1" w:rsidP="00A07F4E">
      <w:pPr>
        <w:pStyle w:val="Cmsor3"/>
        <w:numPr>
          <w:ilvl w:val="0"/>
          <w:numId w:val="110"/>
        </w:numPr>
      </w:pPr>
      <w:bookmarkStart w:id="97" w:name="_Toc109906031"/>
      <w:r w:rsidRPr="00A07F4E">
        <w:t>Inherens kockázatértékelés</w:t>
      </w:r>
      <w:bookmarkEnd w:id="97"/>
    </w:p>
    <w:p w14:paraId="600DDDB7" w14:textId="77777777" w:rsidR="000273F6" w:rsidRPr="00A07F4E" w:rsidRDefault="000273F6" w:rsidP="00A07F4E">
      <w:pPr>
        <w:pStyle w:val="Listaszerbekezds"/>
        <w:numPr>
          <w:ilvl w:val="1"/>
          <w:numId w:val="14"/>
        </w:numPr>
        <w:ind w:left="851" w:hanging="284"/>
      </w:pPr>
      <w:r w:rsidRPr="00A07F4E">
        <w:t>A pénzváltói szektorban rejlő ML/</w:t>
      </w:r>
      <w:proofErr w:type="spellStart"/>
      <w:r w:rsidRPr="00A07F4E">
        <w:t>TF</w:t>
      </w:r>
      <w:proofErr w:type="spellEnd"/>
      <w:r w:rsidRPr="00A07F4E">
        <w:t xml:space="preserve"> kockázati tényezők</w:t>
      </w:r>
    </w:p>
    <w:p w14:paraId="38D9B804" w14:textId="745F6CA4" w:rsidR="00B22A10" w:rsidRDefault="009365E1" w:rsidP="009365E1">
      <w:r w:rsidRPr="002B2910">
        <w:t>A</w:t>
      </w:r>
      <w:r w:rsidR="00F63313" w:rsidRPr="00AF43E2">
        <w:t>z MNB</w:t>
      </w:r>
      <w:r w:rsidR="00A04CFD" w:rsidRPr="002B2910">
        <w:t xml:space="preserve"> által</w:t>
      </w:r>
      <w:r w:rsidRPr="002B2910">
        <w:t xml:space="preserve"> a termékek/szolgáltatások</w:t>
      </w:r>
      <w:r w:rsidR="00AD6F6D" w:rsidRPr="002B2910">
        <w:t xml:space="preserve"> kockázatai Nagyon jelentős, az</w:t>
      </w:r>
      <w:r w:rsidRPr="002B2910">
        <w:t xml:space="preserve"> ügyfelek és az </w:t>
      </w:r>
      <w:r w:rsidR="00AD6F6D" w:rsidRPr="002B2910">
        <w:t>földrajzi</w:t>
      </w:r>
      <w:r w:rsidRPr="002B2910">
        <w:t xml:space="preserve"> kockáza</w:t>
      </w:r>
      <w:r w:rsidR="00AD6F6D" w:rsidRPr="002B2910">
        <w:t>tok</w:t>
      </w:r>
      <w:r w:rsidR="00A04CFD" w:rsidRPr="002B2910">
        <w:t xml:space="preserve"> </w:t>
      </w:r>
      <w:r w:rsidR="00AA2F22" w:rsidRPr="002B2910">
        <w:t>J</w:t>
      </w:r>
      <w:r w:rsidRPr="002B2910">
        <w:t xml:space="preserve">elentős, míg </w:t>
      </w:r>
      <w:r w:rsidR="00AD6F6D" w:rsidRPr="002B2910">
        <w:t>az értékesítési csatorna Mérsékelten j</w:t>
      </w:r>
      <w:r w:rsidRPr="002B2910">
        <w:t>elentős kockázati besorolást kapott.</w:t>
      </w:r>
      <w:r w:rsidRPr="00A07F4E">
        <w:t xml:space="preserve">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DB23A3" w:rsidRPr="003168BA" w14:paraId="0D32DB1C" w14:textId="77777777" w:rsidTr="00300DCA">
        <w:tc>
          <w:tcPr>
            <w:tcW w:w="3061" w:type="dxa"/>
          </w:tcPr>
          <w:p w14:paraId="5C03587E" w14:textId="77777777" w:rsidR="00DB23A3" w:rsidRPr="00095247" w:rsidRDefault="00DB23A3" w:rsidP="00300DCA">
            <w:pPr>
              <w:spacing w:after="0" w:line="240" w:lineRule="auto"/>
              <w:contextualSpacing w:val="0"/>
              <w:jc w:val="center"/>
              <w:rPr>
                <w:rFonts w:eastAsia="Times New Roman" w:cs="Times New Roman"/>
                <w:b/>
                <w:bCs/>
                <w:color w:val="000000"/>
                <w:sz w:val="18"/>
                <w:szCs w:val="18"/>
              </w:rPr>
            </w:pPr>
            <w:r w:rsidRPr="00095247">
              <w:rPr>
                <w:rFonts w:eastAsia="Times New Roman" w:cs="Times New Roman"/>
                <w:b/>
                <w:bCs/>
                <w:color w:val="000000"/>
                <w:sz w:val="18"/>
                <w:szCs w:val="18"/>
              </w:rPr>
              <w:t>Kockázat megnevezése</w:t>
            </w:r>
          </w:p>
        </w:tc>
        <w:tc>
          <w:tcPr>
            <w:tcW w:w="3035" w:type="dxa"/>
          </w:tcPr>
          <w:p w14:paraId="0766C8D2" w14:textId="77777777" w:rsidR="00DB23A3" w:rsidRPr="00095247" w:rsidRDefault="00DB23A3" w:rsidP="00300DCA">
            <w:pPr>
              <w:spacing w:after="0" w:line="240" w:lineRule="auto"/>
              <w:contextualSpacing w:val="0"/>
              <w:jc w:val="center"/>
              <w:rPr>
                <w:rFonts w:eastAsia="Times New Roman" w:cs="Times New Roman"/>
                <w:b/>
                <w:bCs/>
                <w:color w:val="000000"/>
                <w:sz w:val="18"/>
                <w:szCs w:val="18"/>
              </w:rPr>
            </w:pPr>
            <w:r w:rsidRPr="00095247">
              <w:rPr>
                <w:rFonts w:eastAsia="Times New Roman" w:cs="Times New Roman"/>
                <w:b/>
                <w:bCs/>
                <w:color w:val="000000"/>
                <w:sz w:val="18"/>
                <w:szCs w:val="18"/>
              </w:rPr>
              <w:t>Kockázati érték</w:t>
            </w:r>
          </w:p>
        </w:tc>
      </w:tr>
      <w:tr w:rsidR="00DB23A3" w:rsidRPr="003168BA" w14:paraId="4B5F3260" w14:textId="77777777" w:rsidTr="00AF43E2">
        <w:tc>
          <w:tcPr>
            <w:tcW w:w="3061" w:type="dxa"/>
            <w:shd w:val="clear" w:color="auto" w:fill="FFFFFF" w:themeFill="background1"/>
          </w:tcPr>
          <w:p w14:paraId="730C8B33" w14:textId="77777777" w:rsidR="00DB23A3" w:rsidRPr="00095247" w:rsidRDefault="00DB23A3"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Termék/szolgáltatás</w:t>
            </w:r>
          </w:p>
        </w:tc>
        <w:tc>
          <w:tcPr>
            <w:tcW w:w="3035" w:type="dxa"/>
            <w:shd w:val="clear" w:color="auto" w:fill="FF0000"/>
          </w:tcPr>
          <w:p w14:paraId="43450F0D" w14:textId="4B027AE2" w:rsidR="00DB23A3" w:rsidRPr="00095247" w:rsidRDefault="007B0878"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Nagyon j</w:t>
            </w:r>
            <w:r w:rsidR="00DB23A3" w:rsidRPr="00095247">
              <w:rPr>
                <w:rFonts w:eastAsia="Times New Roman" w:cs="Times New Roman"/>
                <w:color w:val="000000"/>
                <w:sz w:val="18"/>
                <w:szCs w:val="18"/>
              </w:rPr>
              <w:t xml:space="preserve">elentős </w:t>
            </w:r>
          </w:p>
        </w:tc>
      </w:tr>
      <w:tr w:rsidR="00DB23A3" w14:paraId="17EAD5BB" w14:textId="77777777" w:rsidTr="00AF43E2">
        <w:tc>
          <w:tcPr>
            <w:tcW w:w="3061" w:type="dxa"/>
            <w:shd w:val="clear" w:color="auto" w:fill="FFFFFF" w:themeFill="background1"/>
          </w:tcPr>
          <w:p w14:paraId="1E1C5FC0" w14:textId="77777777" w:rsidR="00DB23A3" w:rsidRPr="00095247" w:rsidRDefault="00DB23A3"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Ügyfél</w:t>
            </w:r>
          </w:p>
        </w:tc>
        <w:tc>
          <w:tcPr>
            <w:tcW w:w="3035" w:type="dxa"/>
            <w:shd w:val="clear" w:color="auto" w:fill="FFC000"/>
          </w:tcPr>
          <w:p w14:paraId="4191F82E" w14:textId="39310B97" w:rsidR="00DB23A3" w:rsidRPr="00095247" w:rsidRDefault="007B0878"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J</w:t>
            </w:r>
            <w:r w:rsidR="00E12BFC">
              <w:rPr>
                <w:rFonts w:eastAsia="Times New Roman" w:cs="Times New Roman"/>
                <w:color w:val="000000"/>
                <w:sz w:val="18"/>
                <w:szCs w:val="18"/>
              </w:rPr>
              <w:t>elentős</w:t>
            </w:r>
          </w:p>
        </w:tc>
      </w:tr>
      <w:tr w:rsidR="00DB23A3" w14:paraId="13512220" w14:textId="77777777" w:rsidTr="00AF43E2">
        <w:trPr>
          <w:trHeight w:val="50"/>
        </w:trPr>
        <w:tc>
          <w:tcPr>
            <w:tcW w:w="3061" w:type="dxa"/>
            <w:shd w:val="clear" w:color="auto" w:fill="FFFFFF" w:themeFill="background1"/>
          </w:tcPr>
          <w:p w14:paraId="27161252" w14:textId="77777777" w:rsidR="00DB23A3" w:rsidRPr="00095247" w:rsidRDefault="00DB23A3"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Földrajzi</w:t>
            </w:r>
          </w:p>
        </w:tc>
        <w:tc>
          <w:tcPr>
            <w:tcW w:w="3035" w:type="dxa"/>
            <w:shd w:val="clear" w:color="auto" w:fill="FFC000"/>
          </w:tcPr>
          <w:p w14:paraId="14C98DC9" w14:textId="29967161" w:rsidR="00DB23A3" w:rsidRPr="00095247" w:rsidRDefault="007B0878"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J</w:t>
            </w:r>
            <w:r w:rsidR="00DB23A3" w:rsidRPr="00095247">
              <w:rPr>
                <w:rFonts w:eastAsia="Times New Roman" w:cs="Times New Roman"/>
                <w:color w:val="000000"/>
                <w:sz w:val="18"/>
                <w:szCs w:val="18"/>
              </w:rPr>
              <w:t>elentős</w:t>
            </w:r>
          </w:p>
        </w:tc>
      </w:tr>
      <w:tr w:rsidR="00DB23A3" w14:paraId="59714A51" w14:textId="77777777" w:rsidTr="00AF43E2">
        <w:tc>
          <w:tcPr>
            <w:tcW w:w="3061" w:type="dxa"/>
            <w:shd w:val="clear" w:color="auto" w:fill="FFFFFF" w:themeFill="background1"/>
          </w:tcPr>
          <w:p w14:paraId="2A96F1C1" w14:textId="17EE32C7" w:rsidR="00DB23A3" w:rsidRPr="00095247" w:rsidRDefault="00DB23A3"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Értékesítési csato</w:t>
            </w:r>
            <w:r w:rsidR="00D00776">
              <w:rPr>
                <w:rFonts w:eastAsia="Times New Roman" w:cs="Times New Roman"/>
                <w:color w:val="000000"/>
                <w:sz w:val="18"/>
                <w:szCs w:val="18"/>
              </w:rPr>
              <w:t>r</w:t>
            </w:r>
            <w:r w:rsidRPr="00095247">
              <w:rPr>
                <w:rFonts w:eastAsia="Times New Roman" w:cs="Times New Roman"/>
                <w:color w:val="000000"/>
                <w:sz w:val="18"/>
                <w:szCs w:val="18"/>
              </w:rPr>
              <w:t>na</w:t>
            </w:r>
          </w:p>
        </w:tc>
        <w:tc>
          <w:tcPr>
            <w:tcW w:w="3035" w:type="dxa"/>
            <w:shd w:val="clear" w:color="auto" w:fill="FFFF00"/>
          </w:tcPr>
          <w:p w14:paraId="7BC54191" w14:textId="0B8861B2" w:rsidR="00DB23A3" w:rsidRPr="00095247" w:rsidRDefault="007B0878"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w:t>
            </w:r>
            <w:r w:rsidR="00DB23A3" w:rsidRPr="00095247">
              <w:rPr>
                <w:rFonts w:eastAsia="Times New Roman" w:cs="Times New Roman"/>
                <w:color w:val="000000"/>
                <w:sz w:val="18"/>
                <w:szCs w:val="18"/>
              </w:rPr>
              <w:t xml:space="preserve"> jelentős</w:t>
            </w:r>
          </w:p>
        </w:tc>
      </w:tr>
    </w:tbl>
    <w:p w14:paraId="15E0147E" w14:textId="1B85CF71" w:rsidR="004D179A" w:rsidRDefault="00A04CFD" w:rsidP="00FC37B3">
      <w:pPr>
        <w:spacing w:before="120"/>
      </w:pPr>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w:t>
      </w:r>
      <w:r w:rsidR="00F8020A" w:rsidRPr="00A07F4E">
        <w:t>és a hazai tapasztalatok alapján</w:t>
      </w:r>
      <w:r w:rsidR="00D87DC6" w:rsidRPr="00A07F4E">
        <w:t xml:space="preserve"> </w:t>
      </w:r>
      <w:r w:rsidRPr="00A07F4E">
        <w:t xml:space="preserve">megállapítható, hogy a szektorban rejlő legfontosabb kockázatok többnyire </w:t>
      </w:r>
      <w:r w:rsidR="00A37D9D">
        <w:t>a szolgáltató</w:t>
      </w:r>
      <w:r w:rsidRPr="00A07F4E">
        <w:t xml:space="preserve"> készpénzigényes jellegéhez és az ügyfelek </w:t>
      </w:r>
      <w:r w:rsidR="00406551" w:rsidRPr="00A07F4E">
        <w:t>típusához</w:t>
      </w:r>
      <w:r w:rsidRPr="00A07F4E">
        <w:t xml:space="preserve"> kapcsolódnak, akik között gyakran vannak például bevándorlók, menedékkérők, határon túli munkavállalók, turisták. </w:t>
      </w:r>
    </w:p>
    <w:p w14:paraId="3D6E4279" w14:textId="77777777" w:rsidR="004D179A" w:rsidRDefault="004D179A" w:rsidP="00A04CFD">
      <w:r w:rsidRPr="004D179A">
        <w:t>Fontos kiemelni, hogy a pénzváltások során nagy pénzmosási kockázatot hordoz az ügyfelek, illetve ügyletek alkalmi jellege. Kifejezetten hozzájárul továbbá a kockázat növekedéséhez, hogy a megbízó hitelintézetek által végrehajtott pénzváltások jóval kisebb volumenben történnek, mint a pénzváltó ügynökök esetében. Ez utóbbiak jellemzően alacsonyabb erőforrással rendelkeznek, a dolgozói tudatosság szintje is mérsékeltebb, és a folyamatok technikai rendszerek általi támogatottságának mértéke, esetleges automatizmusok jelenléte is csekélyebb</w:t>
      </w:r>
      <w:r>
        <w:t>.</w:t>
      </w:r>
    </w:p>
    <w:p w14:paraId="2FD7DF16" w14:textId="6BCD9D7D" w:rsidR="009669AC" w:rsidRPr="00A07F4E" w:rsidRDefault="00850BAC" w:rsidP="009669AC">
      <w:r w:rsidRPr="00A07F4E">
        <w:t>Az</w:t>
      </w:r>
      <w:r w:rsidR="00A04CFD" w:rsidRPr="00A07F4E">
        <w:t xml:space="preserve"> ügyfelek sokféleségéből adódóan az illetékes </w:t>
      </w:r>
      <w:r w:rsidR="00EC4429">
        <w:t>külföldi</w:t>
      </w:r>
      <w:r w:rsidR="00A04CFD" w:rsidRPr="00A07F4E">
        <w:t xml:space="preserve"> hatóságok kiemelték a földrajzi kockázatot, amely a határ menti régiók közelében zajló tevékenységek és a kapcsolódó készpénzigényes műveletek szintjéhez kapcsolódik</w:t>
      </w:r>
      <w:r w:rsidRPr="00A07F4E">
        <w:t>, amelyek</w:t>
      </w:r>
      <w:r w:rsidR="00A04CFD" w:rsidRPr="00A07F4E">
        <w:t xml:space="preserve"> </w:t>
      </w:r>
      <w:r w:rsidRPr="00A07F4E">
        <w:t>a szektor</w:t>
      </w:r>
      <w:r w:rsidR="00A04CFD" w:rsidRPr="00A07F4E">
        <w:t xml:space="preserve"> számára kulcsfontosságú kockázatnövelő tényező. </w:t>
      </w:r>
      <w:r w:rsidRPr="00A07F4E">
        <w:t>Egyes</w:t>
      </w:r>
      <w:r w:rsidR="00EC4429">
        <w:t xml:space="preserve"> külföldi</w:t>
      </w:r>
      <w:r w:rsidR="00A04CFD" w:rsidRPr="00A07F4E">
        <w:t xml:space="preserve"> hatóságok </w:t>
      </w:r>
      <w:r w:rsidRPr="00A07F4E">
        <w:t>a szektort</w:t>
      </w:r>
      <w:r w:rsidR="00A04CFD" w:rsidRPr="00A07F4E">
        <w:t xml:space="preserve"> érintő, az alapbűncselekményekhez, például a csempészethez</w:t>
      </w:r>
      <w:r w:rsidR="00204494" w:rsidRPr="000610B9">
        <w:rPr>
          <w:rStyle w:val="Lbjegyzet-hivatkozs"/>
        </w:rPr>
        <w:footnoteReference w:id="15"/>
      </w:r>
      <w:r w:rsidR="00A04CFD" w:rsidRPr="00A07F4E">
        <w:t xml:space="preserve"> </w:t>
      </w:r>
      <w:r w:rsidR="00204494">
        <w:t>(költségvetési csaláshoz)</w:t>
      </w:r>
      <w:r w:rsidR="00A04CFD" w:rsidRPr="00A07F4E">
        <w:t xml:space="preserve"> kapcsolódó konkrét kockázatokat </w:t>
      </w:r>
      <w:r w:rsidRPr="00A07F4E">
        <w:t xml:space="preserve">is </w:t>
      </w:r>
      <w:r w:rsidR="00A04CFD" w:rsidRPr="00A07F4E">
        <w:t>azonosítottak.</w:t>
      </w:r>
      <w:r w:rsidRPr="00A07F4E">
        <w:t xml:space="preserve"> Ezen kockázatok is figyelembevételre kerültek jelen kockázatértékelés elvégzésekor. </w:t>
      </w:r>
      <w:r w:rsidR="009669AC" w:rsidRPr="00A07F4E">
        <w:t>A</w:t>
      </w:r>
      <w:r w:rsidR="00204494">
        <w:t xml:space="preserve">z MNB </w:t>
      </w:r>
      <w:r w:rsidR="009669AC" w:rsidRPr="00A07F4E">
        <w:t xml:space="preserve">a szektor értékelésénél megállapította, hogy a szektorhoz tartozó </w:t>
      </w:r>
      <w:r w:rsidR="00A37D9D">
        <w:t>szolgáltatók</w:t>
      </w:r>
      <w:r w:rsidR="00A37D9D" w:rsidRPr="00A07F4E">
        <w:t xml:space="preserve"> </w:t>
      </w:r>
      <w:r w:rsidR="00405895" w:rsidRPr="009F3A30">
        <w:t>fejlesztendő</w:t>
      </w:r>
      <w:r w:rsidR="00405895" w:rsidRPr="00A07F4E">
        <w:t xml:space="preserve"> </w:t>
      </w:r>
      <w:proofErr w:type="spellStart"/>
      <w:r w:rsidR="009669AC" w:rsidRPr="00CF3DE4">
        <w:t>AML</w:t>
      </w:r>
      <w:proofErr w:type="spellEnd"/>
      <w:r w:rsidR="009669AC" w:rsidRPr="00A07F4E">
        <w:t xml:space="preserve"> tranzakció </w:t>
      </w:r>
      <w:proofErr w:type="spellStart"/>
      <w:r w:rsidR="009669AC" w:rsidRPr="00A07F4E">
        <w:t>monitoringgal</w:t>
      </w:r>
      <w:proofErr w:type="spellEnd"/>
      <w:r w:rsidR="009669AC" w:rsidRPr="00A07F4E">
        <w:t xml:space="preserve"> és </w:t>
      </w:r>
      <w:r w:rsidR="00405895" w:rsidRPr="009F3A30">
        <w:t>az elvártaktól elmaradó, nem megfelelő</w:t>
      </w:r>
      <w:r w:rsidR="009669AC" w:rsidRPr="00A07F4E">
        <w:t xml:space="preserve"> gyanús ügyletek bejelentésére vonatkozó politikákkal és eljárásokkal rendelkeznek.  </w:t>
      </w:r>
      <w:r w:rsidR="00A37D9D">
        <w:t>A szolgáltatók</w:t>
      </w:r>
      <w:r w:rsidR="009669AC" w:rsidRPr="00A07F4E">
        <w:t xml:space="preserve"> </w:t>
      </w:r>
      <w:r w:rsidR="00777557" w:rsidRPr="009F3A30">
        <w:t>felügyelet felé történő adatszolgáltatási gyakorlata fejlesztendő</w:t>
      </w:r>
      <w:r w:rsidR="009669AC" w:rsidRPr="00A07F4E">
        <w:t>, az ügyfél-</w:t>
      </w:r>
      <w:r w:rsidR="00777557" w:rsidRPr="009F3A30">
        <w:t>átvilágítás során a pénzeszköz forrásának beszerzési gyakorlata elmarad az elvárásoktól</w:t>
      </w:r>
      <w:r w:rsidR="009669AC" w:rsidRPr="00A07F4E">
        <w:t xml:space="preserve">, </w:t>
      </w:r>
      <w:r w:rsidR="00992153" w:rsidRPr="009F3A30">
        <w:t>illetve</w:t>
      </w:r>
      <w:r w:rsidR="00992153" w:rsidRPr="00A07F4E">
        <w:t xml:space="preserve"> </w:t>
      </w:r>
      <w:r w:rsidR="009669AC" w:rsidRPr="00A07F4E">
        <w:t xml:space="preserve">az összes releváns </w:t>
      </w:r>
      <w:proofErr w:type="spellStart"/>
      <w:r w:rsidR="009669AC" w:rsidRPr="00AF43E2">
        <w:t>AML</w:t>
      </w:r>
      <w:proofErr w:type="spellEnd"/>
      <w:r w:rsidR="009669AC" w:rsidRPr="00CF3DE4">
        <w:t xml:space="preserve"> tip</w:t>
      </w:r>
      <w:r w:rsidR="009669AC" w:rsidRPr="00A07F4E">
        <w:t>ológia, „</w:t>
      </w:r>
      <w:proofErr w:type="spellStart"/>
      <w:r w:rsidR="009669AC" w:rsidRPr="00A07F4E">
        <w:t>redflag</w:t>
      </w:r>
      <w:proofErr w:type="spellEnd"/>
      <w:r w:rsidR="00406551" w:rsidRPr="00A07F4E">
        <w:t>-ek</w:t>
      </w:r>
      <w:r w:rsidR="009669AC" w:rsidRPr="00A07F4E">
        <w:t xml:space="preserve">” </w:t>
      </w:r>
      <w:proofErr w:type="spellStart"/>
      <w:r w:rsidR="009669AC" w:rsidRPr="00A07F4E">
        <w:t>teljeskörűen</w:t>
      </w:r>
      <w:proofErr w:type="spellEnd"/>
      <w:r w:rsidR="009669AC" w:rsidRPr="00A07F4E">
        <w:t xml:space="preserve"> nem találhatóak meg a </w:t>
      </w:r>
      <w:r w:rsidR="00406551" w:rsidRPr="00A07F4E">
        <w:t>szűrő</w:t>
      </w:r>
      <w:r w:rsidR="009669AC" w:rsidRPr="00A07F4E">
        <w:t xml:space="preserve">rendszerekben. </w:t>
      </w:r>
    </w:p>
    <w:p w14:paraId="44DA2FBE" w14:textId="541FF6DF" w:rsidR="00B17E4D" w:rsidRPr="00A07F4E" w:rsidRDefault="00545CE9" w:rsidP="00B17E4D">
      <w:r w:rsidRPr="00A07F4E">
        <w:t>A</w:t>
      </w:r>
      <w:r w:rsidR="00204494">
        <w:t xml:space="preserve">z MNB </w:t>
      </w:r>
      <w:r w:rsidRPr="00A07F4E">
        <w:t>kockázatként azonosította a szektorban, hogy a pénzeszköz forrására vonatkozó információk nem minden esteben állnak rendelkezésre</w:t>
      </w:r>
      <w:r w:rsidR="000923AB" w:rsidRPr="00A07F4E">
        <w:t>, valamint további kockázatként került azonosításra</w:t>
      </w:r>
      <w:r w:rsidR="00B17E4D" w:rsidRPr="00A07F4E">
        <w:t xml:space="preserve"> a személyzet megfelelő ismereteinek és tudatosságának hiánya, amely befolyásolhatja a hatékonyságot,</w:t>
      </w:r>
      <w:r w:rsidR="00AA2F22" w:rsidRPr="00A07F4E">
        <w:t xml:space="preserve"> valamint</w:t>
      </w:r>
      <w:r w:rsidR="00B17E4D" w:rsidRPr="00A07F4E">
        <w:t xml:space="preserve"> késedelmes riportok és/vagy a tranzakciós </w:t>
      </w:r>
      <w:r w:rsidR="00B17E4D" w:rsidRPr="00CF3DE4">
        <w:t xml:space="preserve">dokumentumok </w:t>
      </w:r>
      <w:proofErr w:type="spellStart"/>
      <w:r w:rsidR="000610B9" w:rsidRPr="00CF3DE4">
        <w:t>N</w:t>
      </w:r>
      <w:r w:rsidR="000610B9">
        <w:t>AV</w:t>
      </w:r>
      <w:proofErr w:type="spellEnd"/>
      <w:r w:rsidR="000610B9">
        <w:t xml:space="preserve"> </w:t>
      </w:r>
      <w:proofErr w:type="spellStart"/>
      <w:r w:rsidR="000610B9">
        <w:t>PEI-nek</w:t>
      </w:r>
      <w:proofErr w:type="spellEnd"/>
      <w:r w:rsidR="00B17E4D" w:rsidRPr="00A07F4E">
        <w:t xml:space="preserve"> történő benyújtásának hiánya. </w:t>
      </w:r>
    </w:p>
    <w:p w14:paraId="01665B9A" w14:textId="196B6610" w:rsidR="00D87DC6" w:rsidRPr="009F3A30" w:rsidRDefault="00D87DC6" w:rsidP="00D87DC6">
      <w:r w:rsidRPr="009F3A30">
        <w:lastRenderedPageBreak/>
        <w:t>További kockázatként került azonosításra, hogy a pénzváltók általában olyan személyeket jelentenek be a hitelintézetek és ezáltal az MNB felé, akiket már korábbi engedélyezési eljárásokban az MNB vizsgált, majd a későbbiek során lecserélik az adott személyt – előéletének fentiek szerinti ismerete és</w:t>
      </w:r>
      <w:r w:rsidR="00A37D9D">
        <w:t xml:space="preserve"> –</w:t>
      </w:r>
      <w:r w:rsidRPr="009F3A30">
        <w:t xml:space="preserve"> felügyeleti kontroll nélkül. </w:t>
      </w:r>
    </w:p>
    <w:p w14:paraId="4ED4D2AD" w14:textId="658E5CF4" w:rsidR="007C241E" w:rsidRPr="009F3A30" w:rsidRDefault="007C241E" w:rsidP="007C241E">
      <w:r w:rsidRPr="009F3A30">
        <w:t>A</w:t>
      </w:r>
      <w:r w:rsidR="008E7327">
        <w:t>z MNB</w:t>
      </w:r>
      <w:r w:rsidR="00E12BFC">
        <w:t xml:space="preserve"> </w:t>
      </w:r>
      <w:r w:rsidR="00A37D9D">
        <w:t>által folytatott</w:t>
      </w:r>
      <w:r w:rsidRPr="009F3A30">
        <w:t xml:space="preserve"> vizsgálat alapján </w:t>
      </w:r>
      <w:r w:rsidR="00522ACA">
        <w:t>kockázatként került azonosításra</w:t>
      </w:r>
      <w:r w:rsidRPr="009F3A30">
        <w:t>, hogy a pénzváltó</w:t>
      </w:r>
      <w:r w:rsidR="008E7327">
        <w:t xml:space="preserve"> irodák</w:t>
      </w:r>
      <w:r w:rsidRPr="009F3A30">
        <w:t xml:space="preserve"> és megbízóik nem helyeztek kellő körültekintést azokra az esetekre, ahol a pénzváltó</w:t>
      </w:r>
      <w:r w:rsidR="008E7327">
        <w:t xml:space="preserve"> irodák</w:t>
      </w:r>
      <w:r w:rsidRPr="009F3A30">
        <w:t xml:space="preserve"> ügyfelei rendszeres kisebb váltásokkal (darabolással) kerülték el a jelentősebb ügyfél-átvilágítási kötelezettségek végrehajtását.</w:t>
      </w:r>
      <w:r w:rsidR="00222FFD" w:rsidRPr="009F3A30">
        <w:t xml:space="preserve"> </w:t>
      </w:r>
    </w:p>
    <w:p w14:paraId="16D1FCA2" w14:textId="64F1F230" w:rsidR="00522ACA" w:rsidRDefault="00522ACA" w:rsidP="007C241E">
      <w:r>
        <w:t>Továbbá a</w:t>
      </w:r>
      <w:r w:rsidR="00222FFD" w:rsidRPr="009F3A30">
        <w:t xml:space="preserve"> pénzváltó</w:t>
      </w:r>
      <w:r w:rsidR="008E7327">
        <w:t xml:space="preserve"> irodák</w:t>
      </w:r>
      <w:r w:rsidR="00222FFD" w:rsidRPr="009F3A30">
        <w:t xml:space="preserve"> jelentős többségénél </w:t>
      </w:r>
      <w:r>
        <w:t>megállapítható</w:t>
      </w:r>
      <w:r w:rsidRPr="009F3A30">
        <w:t xml:space="preserve"> </w:t>
      </w:r>
      <w:r>
        <w:t>volt</w:t>
      </w:r>
      <w:r w:rsidR="00222FFD" w:rsidRPr="009F3A30">
        <w:t xml:space="preserve"> </w:t>
      </w:r>
      <w:r w:rsidR="006E0BDC">
        <w:t>a</w:t>
      </w:r>
      <w:r w:rsidR="006E0BDC" w:rsidRPr="009F3A30">
        <w:t xml:space="preserve"> </w:t>
      </w:r>
      <w:proofErr w:type="spellStart"/>
      <w:r w:rsidR="00222FFD" w:rsidRPr="009F3A30">
        <w:t>compliance</w:t>
      </w:r>
      <w:proofErr w:type="spellEnd"/>
      <w:r w:rsidR="00222FFD" w:rsidRPr="009F3A30">
        <w:t xml:space="preserve"> kultúra</w:t>
      </w:r>
      <w:r w:rsidR="00D25489" w:rsidRPr="009F3A30">
        <w:t xml:space="preserve"> hiánya</w:t>
      </w:r>
      <w:r>
        <w:t>, valamint</w:t>
      </w:r>
      <w:r w:rsidR="00222FFD" w:rsidRPr="009F3A30">
        <w:t>, hogy kockázatcsökkentő intézkedéseik jelentős részét nem saját elhatározásból, hanem a megbízók elvárás</w:t>
      </w:r>
      <w:r w:rsidR="00BB3ACF" w:rsidRPr="009F3A30">
        <w:t>ai</w:t>
      </w:r>
      <w:r w:rsidR="00222FFD" w:rsidRPr="009F3A30">
        <w:t xml:space="preserve"> alapján teljesítik.</w:t>
      </w:r>
      <w:r w:rsidR="00276809" w:rsidRPr="009F3A30">
        <w:t xml:space="preserve"> </w:t>
      </w:r>
    </w:p>
    <w:p w14:paraId="55A3055F" w14:textId="51C75F78" w:rsidR="00222FFD" w:rsidRPr="00A07F4E" w:rsidRDefault="00EA25F2" w:rsidP="007C241E">
      <w:pPr>
        <w:rPr>
          <w:rFonts w:eastAsia="Times New Roman"/>
        </w:rPr>
      </w:pPr>
      <w:r w:rsidRPr="009F3A30">
        <w:t>További k</w:t>
      </w:r>
      <w:r w:rsidR="00276809" w:rsidRPr="009F3A30">
        <w:t>ockázatot növelő tényező</w:t>
      </w:r>
      <w:r w:rsidR="00522ACA">
        <w:t>, hogy az MNB</w:t>
      </w:r>
      <w:r w:rsidR="00E12BFC">
        <w:t xml:space="preserve"> </w:t>
      </w:r>
      <w:r w:rsidR="00276809" w:rsidRPr="009F3A30">
        <w:t>a külső ellenőrzések hatékonyság</w:t>
      </w:r>
      <w:r w:rsidRPr="009F3A30">
        <w:t>át</w:t>
      </w:r>
      <w:r w:rsidR="00276809" w:rsidRPr="009F3A30">
        <w:t xml:space="preserve"> is fejlesztendő területnek </w:t>
      </w:r>
      <w:r w:rsidRPr="009F3A30">
        <w:t>értékelte</w:t>
      </w:r>
      <w:r w:rsidR="00522ACA">
        <w:t>.</w:t>
      </w:r>
    </w:p>
    <w:p w14:paraId="6A120099" w14:textId="620991F5" w:rsidR="00AB3B9A" w:rsidRPr="00A07F4E" w:rsidRDefault="007336CE" w:rsidP="00B17E4D">
      <w:r w:rsidRPr="00A07F4E">
        <w:t>A</w:t>
      </w:r>
      <w:r w:rsidR="007C241E" w:rsidRPr="00A07F4E">
        <w:t xml:space="preserve"> </w:t>
      </w:r>
      <w:r w:rsidR="007C241E" w:rsidRPr="009F3A30">
        <w:t>fentiekre tekintettel, a</w:t>
      </w:r>
      <w:r w:rsidR="00522ACA">
        <w:t>z MNB</w:t>
      </w:r>
      <w:r w:rsidRPr="00A07F4E">
        <w:t xml:space="preserve"> értékelése alapján</w:t>
      </w:r>
      <w:r w:rsidR="007C241E" w:rsidRPr="00A07F4E">
        <w:t>,</w:t>
      </w:r>
      <w:r w:rsidRPr="00A07F4E">
        <w:t xml:space="preserve"> az pénzváltói szektor Jelentős inherens kockázati értékkel rendelkezik. Az </w:t>
      </w:r>
      <w:proofErr w:type="spellStart"/>
      <w:r w:rsidRPr="00A07F4E">
        <w:t>EBA</w:t>
      </w:r>
      <w:proofErr w:type="spellEnd"/>
      <w:r w:rsidRPr="00A07F4E">
        <w:t xml:space="preserve"> </w:t>
      </w:r>
      <w:proofErr w:type="spellStart"/>
      <w:r w:rsidRPr="00A07F4E">
        <w:t>Opinion</w:t>
      </w:r>
      <w:proofErr w:type="spellEnd"/>
      <w:r w:rsidRPr="00A07F4E">
        <w:t xml:space="preserve"> összegzés szerint több illetékes hatóság Jelentős, illetve Nagyon jelentős kockázati kategóriába sorolta a szektorban rejlő kockázatot.</w:t>
      </w:r>
    </w:p>
    <w:p w14:paraId="4FADEDC9" w14:textId="77777777" w:rsidR="00E15A89" w:rsidRPr="00A07F4E" w:rsidRDefault="00E15A89" w:rsidP="00A07F4E">
      <w:pPr>
        <w:pStyle w:val="Listaszerbekezds"/>
        <w:numPr>
          <w:ilvl w:val="1"/>
          <w:numId w:val="14"/>
        </w:numPr>
        <w:ind w:left="851" w:hanging="284"/>
      </w:pPr>
      <w:r w:rsidRPr="00A07F4E">
        <w:t>A pénzváltói szektorban rejlő, határokon átnyúló ML/</w:t>
      </w:r>
      <w:proofErr w:type="spellStart"/>
      <w:r w:rsidRPr="00A07F4E">
        <w:t>TF</w:t>
      </w:r>
      <w:proofErr w:type="spellEnd"/>
      <w:r w:rsidRPr="00A07F4E">
        <w:t xml:space="preserve"> kockázatok</w:t>
      </w:r>
    </w:p>
    <w:p w14:paraId="5E8809B1" w14:textId="5D7BCBA3" w:rsidR="00AB3B9A" w:rsidRPr="00A07F4E" w:rsidRDefault="00AB3B9A" w:rsidP="00AB3B9A">
      <w:r w:rsidRPr="00A07F4E">
        <w:t xml:space="preserve">Az </w:t>
      </w:r>
      <w:r w:rsidR="00D35558" w:rsidRPr="00A07F4E">
        <w:t>pén</w:t>
      </w:r>
      <w:r w:rsidR="004D3A1B" w:rsidRPr="00A07F4E">
        <w:t>z</w:t>
      </w:r>
      <w:r w:rsidR="00D35558" w:rsidRPr="00A07F4E">
        <w:t>váltói</w:t>
      </w:r>
      <w:r w:rsidRPr="00A07F4E">
        <w:t xml:space="preserve"> </w:t>
      </w:r>
      <w:r w:rsidR="00D35558" w:rsidRPr="00A07F4E">
        <w:t>szektorra jellemző a külföldi érintettség, amely elsősorban a turista ügyfelek személyében realizálódik</w:t>
      </w:r>
      <w:r w:rsidR="00522ACA">
        <w:t xml:space="preserve">. </w:t>
      </w:r>
      <w:r w:rsidR="00597B0B">
        <w:t>Megjegyezzük</w:t>
      </w:r>
      <w:r w:rsidR="00522ACA">
        <w:t>, hogy</w:t>
      </w:r>
      <w:r w:rsidR="00D35558" w:rsidRPr="00A07F4E">
        <w:t xml:space="preserve"> a </w:t>
      </w:r>
      <w:r w:rsidR="00522ACA">
        <w:t>közelmúltban</w:t>
      </w:r>
      <w:r w:rsidR="00D35558" w:rsidRPr="00A07F4E">
        <w:t xml:space="preserve"> a pandémiás helyzetre tekintettel </w:t>
      </w:r>
      <w:r w:rsidR="00597B0B">
        <w:t>az ügyfelek száma</w:t>
      </w:r>
      <w:r w:rsidR="00D35558" w:rsidRPr="00A07F4E">
        <w:t xml:space="preserve"> jelentősen csökkent. Külföldi érintettség jelentkezhet </w:t>
      </w:r>
      <w:r w:rsidR="008F635E">
        <w:t>– a fenti a) pontban foglaltak szerint</w:t>
      </w:r>
      <w:r w:rsidR="00CA1D85">
        <w:t xml:space="preserve"> –</w:t>
      </w:r>
      <w:r w:rsidR="008F635E">
        <w:t xml:space="preserve"> </w:t>
      </w:r>
      <w:r w:rsidR="00D35558" w:rsidRPr="00A07F4E">
        <w:t xml:space="preserve">a bevándorlók, valamint a menekültek személyében, akik fokozott kockázatot jelenthetnek </w:t>
      </w:r>
      <w:proofErr w:type="spellStart"/>
      <w:r w:rsidR="00D35558" w:rsidRPr="00A07F4E">
        <w:t>AML</w:t>
      </w:r>
      <w:proofErr w:type="spellEnd"/>
      <w:r w:rsidR="00D35558" w:rsidRPr="00A07F4E">
        <w:t>/</w:t>
      </w:r>
      <w:proofErr w:type="spellStart"/>
      <w:r w:rsidR="00D35558" w:rsidRPr="00A07F4E">
        <w:t>CFT</w:t>
      </w:r>
      <w:proofErr w:type="spellEnd"/>
      <w:r w:rsidR="00D35558" w:rsidRPr="00A07F4E">
        <w:t xml:space="preserve"> szempontból. </w:t>
      </w:r>
    </w:p>
    <w:tbl>
      <w:tblPr>
        <w:tblW w:w="2740" w:type="dxa"/>
        <w:jc w:val="center"/>
        <w:tblCellMar>
          <w:left w:w="70" w:type="dxa"/>
          <w:right w:w="70" w:type="dxa"/>
        </w:tblCellMar>
        <w:tblLook w:val="04A0" w:firstRow="1" w:lastRow="0" w:firstColumn="1" w:lastColumn="0" w:noHBand="0" w:noVBand="1"/>
      </w:tblPr>
      <w:tblGrid>
        <w:gridCol w:w="1780"/>
        <w:gridCol w:w="960"/>
      </w:tblGrid>
      <w:tr w:rsidR="00160BE2" w:rsidRPr="00A07F4E" w14:paraId="1D9F4ECC" w14:textId="77777777" w:rsidTr="00160BE2">
        <w:trPr>
          <w:trHeight w:val="300"/>
          <w:jc w:val="center"/>
        </w:trPr>
        <w:tc>
          <w:tcPr>
            <w:tcW w:w="1780" w:type="dxa"/>
            <w:tcBorders>
              <w:top w:val="nil"/>
              <w:left w:val="nil"/>
              <w:bottom w:val="nil"/>
              <w:right w:val="nil"/>
            </w:tcBorders>
            <w:shd w:val="clear" w:color="auto" w:fill="auto"/>
            <w:noWrap/>
            <w:vAlign w:val="center"/>
            <w:hideMark/>
          </w:tcPr>
          <w:p w14:paraId="23E8A4B1" w14:textId="77777777" w:rsidR="00160BE2" w:rsidRPr="00A07F4E" w:rsidRDefault="00160BE2" w:rsidP="00160BE2">
            <w:pPr>
              <w:spacing w:after="0" w:line="240" w:lineRule="auto"/>
              <w:jc w:val="center"/>
              <w:rPr>
                <w:rFonts w:eastAsia="Times New Roman" w:cs="Calibri"/>
                <w:b/>
                <w:bCs/>
                <w:color w:val="000000"/>
              </w:rPr>
            </w:pPr>
            <w:r w:rsidRPr="00A07F4E">
              <w:rPr>
                <w:rFonts w:eastAsia="Times New Roman" w:cs="Calibri"/>
                <w:b/>
                <w:bCs/>
                <w:color w:val="000000"/>
              </w:rPr>
              <w:t>Inherens kockázat:</w:t>
            </w:r>
            <w:r w:rsidRPr="00A07F4E">
              <w:rPr>
                <w:rFonts w:eastAsia="Times New Roman" w:cs="Calibri"/>
                <w:color w:val="000000"/>
              </w:rPr>
              <w:t xml:space="preserve"> </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F02E887" w14:textId="77777777" w:rsidR="00160BE2" w:rsidRPr="00A07F4E" w:rsidRDefault="00160BE2" w:rsidP="00160BE2">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Jelentős</w:t>
            </w:r>
          </w:p>
        </w:tc>
      </w:tr>
    </w:tbl>
    <w:p w14:paraId="2248377D" w14:textId="537879EF" w:rsidR="00B90348" w:rsidRDefault="00B90348" w:rsidP="00AB3B9A"/>
    <w:p w14:paraId="4CEFE7D5" w14:textId="77777777" w:rsidR="00323054" w:rsidRPr="00A07F4E" w:rsidRDefault="00323054" w:rsidP="00A07F4E">
      <w:pPr>
        <w:pStyle w:val="Cmsor3"/>
        <w:numPr>
          <w:ilvl w:val="0"/>
          <w:numId w:val="110"/>
        </w:numPr>
      </w:pPr>
      <w:bookmarkStart w:id="98" w:name="_Toc109906032"/>
      <w:r w:rsidRPr="00A07F4E">
        <w:t>Az ellenőrzések minősége</w:t>
      </w:r>
      <w:bookmarkEnd w:id="98"/>
    </w:p>
    <w:p w14:paraId="2A9DC7D2" w14:textId="4F48F539" w:rsidR="00323054" w:rsidRPr="00A07F4E" w:rsidRDefault="00323054" w:rsidP="00323054">
      <w:r w:rsidRPr="00A07F4E">
        <w:t>A</w:t>
      </w:r>
      <w:r w:rsidR="00597B0B">
        <w:t>z MNB</w:t>
      </w:r>
      <w:r w:rsidRPr="00A07F4E">
        <w:t xml:space="preserve"> a pénzváltó</w:t>
      </w:r>
      <w:r w:rsidR="00597B0B">
        <w:t xml:space="preserve"> irodák</w:t>
      </w:r>
      <w:r w:rsidRPr="00A07F4E">
        <w:t xml:space="preserve"> </w:t>
      </w:r>
      <w:r w:rsidR="00EF76E7" w:rsidRPr="00A07F4E">
        <w:t xml:space="preserve">általi </w:t>
      </w:r>
      <w:r w:rsidRPr="00A07F4E">
        <w:t xml:space="preserve">ellenőrzések megfelelőségének és minőségének értékelésénél </w:t>
      </w:r>
      <w:r w:rsidR="008C1A55">
        <w:t>a szolgáltatók</w:t>
      </w:r>
      <w:r w:rsidRPr="00A07F4E">
        <w:t xml:space="preserve"> egészére kiterjedő, illetve az egyes üzleti kapcsolatokra alkalmazott kockázatértékelést, valamint a folyamatos </w:t>
      </w:r>
      <w:proofErr w:type="spellStart"/>
      <w:r w:rsidRPr="00A07F4E">
        <w:t>monitoringhoz</w:t>
      </w:r>
      <w:proofErr w:type="spellEnd"/>
      <w:r w:rsidRPr="00A07F4E">
        <w:t xml:space="preserve"> kapcsolódó politikáknak és eljárásoknak, ideértve a tranzakciók nyomon követésének megfelelőségét és hatékonyságát minősítette gyengének, míg a többi értékelési szempontot jónak</w:t>
      </w:r>
      <w:r w:rsidR="00160BE2" w:rsidRPr="00A07F4E">
        <w:t xml:space="preserve"> </w:t>
      </w:r>
      <w:r w:rsidRPr="00A07F4E">
        <w:t>értékelte.</w:t>
      </w:r>
      <w:r w:rsidR="00D25489" w:rsidRPr="00A07F4E">
        <w:rPr>
          <w:rStyle w:val="Lbjegyzet-hivatkozs"/>
        </w:rPr>
        <w:footnoteReference w:id="16"/>
      </w:r>
      <w:r w:rsidRPr="00A07F4E">
        <w:t xml:space="preserve"> </w:t>
      </w:r>
    </w:p>
    <w:p w14:paraId="335840AF" w14:textId="5AEF52A1" w:rsidR="009F0461" w:rsidRDefault="00323054" w:rsidP="0041629D">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az illetékes </w:t>
      </w:r>
      <w:r w:rsidR="00597B0B">
        <w:t xml:space="preserve">külföldi </w:t>
      </w:r>
      <w:r w:rsidRPr="00A07F4E">
        <w:t>társhatóságok</w:t>
      </w:r>
      <w:r w:rsidR="00CB528A" w:rsidRPr="00A07F4E">
        <w:t xml:space="preserve"> többsége a</w:t>
      </w:r>
      <w:r w:rsidR="009F0461">
        <w:t xml:space="preserve"> szolgáltatók által végzett</w:t>
      </w:r>
      <w:r w:rsidR="00D6613D">
        <w:t xml:space="preserve"> </w:t>
      </w:r>
      <w:r w:rsidR="00CB528A" w:rsidRPr="00A07F4E">
        <w:t>ellenőrzéseket gyengének minősítette</w:t>
      </w:r>
      <w:r w:rsidR="009F59C2" w:rsidRPr="00A07F4E">
        <w:t xml:space="preserve">, </w:t>
      </w:r>
      <w:r w:rsidR="009F0461">
        <w:t xml:space="preserve">a </w:t>
      </w:r>
      <w:r w:rsidR="00A37D9D">
        <w:t>szolgáltatók</w:t>
      </w:r>
      <w:r w:rsidR="00597B0B">
        <w:t xml:space="preserve"> </w:t>
      </w:r>
      <w:r w:rsidR="009F59C2" w:rsidRPr="00A07F4E">
        <w:t xml:space="preserve">által elvégzett </w:t>
      </w:r>
      <w:r w:rsidR="008C1A55">
        <w:t>a szolgáltatók</w:t>
      </w:r>
      <w:r w:rsidR="009F59C2" w:rsidRPr="00A07F4E">
        <w:t xml:space="preserve"> egészére kiterjedő, illetve az egyes üzleti kapcsolatokra alkalmazott kockázatértékelést, a gyanús tranzakciók </w:t>
      </w:r>
      <w:proofErr w:type="spellStart"/>
      <w:r w:rsidR="00D6613D">
        <w:t>FIU-nak</w:t>
      </w:r>
      <w:proofErr w:type="spellEnd"/>
      <w:r w:rsidR="009F59C2" w:rsidRPr="00A07F4E">
        <w:t xml:space="preserve"> történő bejelentésére vonatkozó eljárást, illetve az ügyfél-átvilágítási intézkedések hatékonyságát kifogásolták. </w:t>
      </w:r>
      <w:r w:rsidR="00F8020A" w:rsidRPr="00A07F4E">
        <w:t>A</w:t>
      </w:r>
      <w:r w:rsidR="00E42B5D" w:rsidRPr="00A07F4E">
        <w:t xml:space="preserve">ggodalmukat fejezték ki az irányítási struktúrákkal és az </w:t>
      </w:r>
      <w:proofErr w:type="spellStart"/>
      <w:r w:rsidR="00E42B5D" w:rsidRPr="00A07F4E">
        <w:t>AML</w:t>
      </w:r>
      <w:proofErr w:type="spellEnd"/>
      <w:r w:rsidR="00E42B5D" w:rsidRPr="00A07F4E">
        <w:t>/</w:t>
      </w:r>
      <w:proofErr w:type="spellStart"/>
      <w:r w:rsidR="00E42B5D" w:rsidRPr="00A07F4E">
        <w:t>CFT</w:t>
      </w:r>
      <w:proofErr w:type="spellEnd"/>
      <w:r w:rsidR="00E42B5D" w:rsidRPr="00A07F4E">
        <w:t xml:space="preserve"> funkcióhoz rendelt erőforrásokkal kapcsolatban.</w:t>
      </w:r>
    </w:p>
    <w:p w14:paraId="37BC3B58" w14:textId="77777777" w:rsidR="006F3E48" w:rsidRPr="00A07F4E" w:rsidRDefault="006F3E48" w:rsidP="00A07F4E">
      <w:pPr>
        <w:pStyle w:val="Cmsor3"/>
        <w:numPr>
          <w:ilvl w:val="0"/>
          <w:numId w:val="110"/>
        </w:numPr>
      </w:pPr>
      <w:bookmarkStart w:id="99" w:name="_Toc106108262"/>
      <w:bookmarkStart w:id="100" w:name="_Toc106108375"/>
      <w:bookmarkStart w:id="101" w:name="_Toc106120856"/>
      <w:bookmarkStart w:id="102" w:name="_Toc106183465"/>
      <w:bookmarkStart w:id="103" w:name="_Toc106192415"/>
      <w:bookmarkStart w:id="104" w:name="_Toc106198011"/>
      <w:bookmarkStart w:id="105" w:name="_Toc106198657"/>
      <w:bookmarkStart w:id="106" w:name="_Toc106201851"/>
      <w:bookmarkStart w:id="107" w:name="_Toc106869560"/>
      <w:bookmarkStart w:id="108" w:name="_Toc107236425"/>
      <w:bookmarkStart w:id="109" w:name="_Toc107237333"/>
      <w:bookmarkStart w:id="110" w:name="_Toc107237659"/>
      <w:bookmarkStart w:id="111" w:name="_Toc109906033"/>
      <w:bookmarkEnd w:id="99"/>
      <w:bookmarkEnd w:id="100"/>
      <w:bookmarkEnd w:id="101"/>
      <w:bookmarkEnd w:id="102"/>
      <w:bookmarkEnd w:id="103"/>
      <w:bookmarkEnd w:id="104"/>
      <w:bookmarkEnd w:id="105"/>
      <w:bookmarkEnd w:id="106"/>
      <w:bookmarkEnd w:id="107"/>
      <w:bookmarkEnd w:id="108"/>
      <w:bookmarkEnd w:id="109"/>
      <w:bookmarkEnd w:id="110"/>
      <w:r w:rsidRPr="00A07F4E">
        <w:t>Felügyeleti tevékenység</w:t>
      </w:r>
      <w:bookmarkEnd w:id="111"/>
    </w:p>
    <w:p w14:paraId="7059B472" w14:textId="1FDAF58A" w:rsidR="006F3E48" w:rsidRPr="00A07F4E" w:rsidRDefault="006F3E48" w:rsidP="006F3E48">
      <w:r w:rsidRPr="00A07F4E">
        <w:t>A</w:t>
      </w:r>
      <w:r w:rsidR="009F0461">
        <w:t>z MNB</w:t>
      </w:r>
      <w:r w:rsidRPr="00A07F4E">
        <w:t xml:space="preserve"> a Jelentős inherens kockázati besorolásra, illetve a kockázatalapú felügyelésre </w:t>
      </w:r>
      <w:r w:rsidR="001B74E9" w:rsidRPr="00A07F4E">
        <w:t xml:space="preserve">is </w:t>
      </w:r>
      <w:r w:rsidRPr="00A07F4E">
        <w:t>tekintettel nagyobb hangsúlyt fektetett a pénzváltó</w:t>
      </w:r>
      <w:r w:rsidR="009F0461">
        <w:t xml:space="preserve"> irodák</w:t>
      </w:r>
      <w:r w:rsidR="00E12BFC">
        <w:t xml:space="preserve"> </w:t>
      </w:r>
      <w:r w:rsidRPr="00A07F4E">
        <w:t>vizsgálatára. A</w:t>
      </w:r>
      <w:r w:rsidR="009F0461">
        <w:t xml:space="preserve"> Jelentős kockázati besorolásra tekintettel az MNB a pénzváltói szektorban ismétlődő jelleggel időszakosan indítja a témavizsgálatokat. </w:t>
      </w:r>
      <w:r w:rsidR="00332CB3">
        <w:t>A nagyösszegű pénzváltások száma vonatkozásában a felügyeleti ellenőrzéseket követően az MNB jelentős visszaesést tapasztalt. Ezen visszaesés növeli a bizonylati rend nélküli ún. „fekete</w:t>
      </w:r>
      <w:r w:rsidR="00F351A5">
        <w:t>”</w:t>
      </w:r>
      <w:r w:rsidR="00332CB3">
        <w:t xml:space="preserve"> pénzváltás kockázatát. A hatóságok együttműködése keretében kidolgozandó a fekete pénzváltások ellenőrzésének hatékony stratégiája. </w:t>
      </w:r>
    </w:p>
    <w:p w14:paraId="361804AD" w14:textId="77777777" w:rsidR="00DB27C2" w:rsidRPr="00A07F4E" w:rsidRDefault="00DB27C2" w:rsidP="00F51C68">
      <w:pPr>
        <w:pStyle w:val="Cmsor3"/>
        <w:numPr>
          <w:ilvl w:val="0"/>
          <w:numId w:val="110"/>
        </w:numPr>
      </w:pPr>
      <w:bookmarkStart w:id="112" w:name="_Toc107236427"/>
      <w:bookmarkStart w:id="113" w:name="_Toc107237335"/>
      <w:bookmarkStart w:id="114" w:name="_Toc107237661"/>
      <w:bookmarkStart w:id="115" w:name="_Toc109906034"/>
      <w:bookmarkEnd w:id="112"/>
      <w:bookmarkEnd w:id="113"/>
      <w:bookmarkEnd w:id="114"/>
      <w:r w:rsidRPr="00A07F4E">
        <w:lastRenderedPageBreak/>
        <w:t>Azonosított jogsértések</w:t>
      </w:r>
      <w:bookmarkEnd w:id="115"/>
    </w:p>
    <w:p w14:paraId="52782ACD" w14:textId="43993597" w:rsidR="001720BD" w:rsidRPr="00A07F4E" w:rsidRDefault="00DB27C2" w:rsidP="00DB27C2">
      <w:r w:rsidRPr="00A07F4E">
        <w:t>A</w:t>
      </w:r>
      <w:r w:rsidR="009F0461">
        <w:t>z MNB</w:t>
      </w:r>
      <w:r w:rsidR="00F51C68">
        <w:t xml:space="preserve"> </w:t>
      </w:r>
      <w:r w:rsidRPr="00A07F4E">
        <w:t>a felügyeleti vizsgálatok során az alábbi területeke</w:t>
      </w:r>
      <w:r w:rsidR="008B4464" w:rsidRPr="00A07F4E">
        <w:t>n</w:t>
      </w:r>
      <w:r w:rsidRPr="00A07F4E">
        <w:t xml:space="preserve"> azonosított jogsértéseket: </w:t>
      </w:r>
    </w:p>
    <w:p w14:paraId="4130A334" w14:textId="3417E9B2" w:rsidR="00A36D79" w:rsidRPr="00A07F4E" w:rsidRDefault="00A36D79" w:rsidP="00DB27C2">
      <w:r w:rsidRPr="00A36D79">
        <w:t>A</w:t>
      </w:r>
      <w:r>
        <w:t xml:space="preserve"> felügyeleti</w:t>
      </w:r>
      <w:r w:rsidRPr="00A36D79">
        <w:t xml:space="preserve"> vizsgálatok során sok esetben ügyfél-átvilágítási hiányosságok kerültek detektálásra, </w:t>
      </w:r>
      <w:r>
        <w:t xml:space="preserve">így különösen, hogy </w:t>
      </w:r>
      <w:r w:rsidRPr="00A36D79">
        <w:t xml:space="preserve">a </w:t>
      </w:r>
      <w:r>
        <w:t xml:space="preserve">közvetítők a </w:t>
      </w:r>
      <w:r w:rsidRPr="00A36D79">
        <w:t>pénzváltások során nem fordítanak kellő figyelmet a pénzeszközök forrásának igazolására, és a feladatok megosztása a</w:t>
      </w:r>
      <w:r>
        <w:t xml:space="preserve"> közvetítő </w:t>
      </w:r>
      <w:r w:rsidRPr="00A36D79">
        <w:t xml:space="preserve">és a megbízó hitelintézet között </w:t>
      </w:r>
      <w:r>
        <w:t>nem tisztázott</w:t>
      </w:r>
      <w:r w:rsidRPr="00A36D79">
        <w:t xml:space="preserve"> </w:t>
      </w:r>
      <w:r>
        <w:t>a megbízási szerződésben</w:t>
      </w:r>
      <w:r w:rsidRPr="00A36D79">
        <w:t xml:space="preserve">. A vizsgálati tapasztalatok </w:t>
      </w:r>
      <w:r>
        <w:t>alapján</w:t>
      </w:r>
      <w:r w:rsidRPr="00A36D79">
        <w:t xml:space="preserve"> további kockázatot jelent, hogy a</w:t>
      </w:r>
      <w:r>
        <w:t xml:space="preserve"> közvetítők</w:t>
      </w:r>
      <w:r w:rsidRPr="00A36D79">
        <w:t xml:space="preserve"> tranzakciós</w:t>
      </w:r>
      <w:r>
        <w:t xml:space="preserve"> s</w:t>
      </w:r>
      <w:r w:rsidRPr="00A36D79">
        <w:t>zűrése nem kellő hatékonyságú, illetve sok esetben nem kerülnek megfelelően dokumentálásra az elvégzett vizsgálatok. Az előbbi hiányosságok eredményeként – visszatérő jelleggel – megfigyelhető a pénzmosási bejelentések teljes vagy ismételt elmaradása, illetve sok esetben nagymértékű késedelme</w:t>
      </w:r>
      <w:r>
        <w:t xml:space="preserve">. Továbbá </w:t>
      </w:r>
      <w:r w:rsidRPr="00A36D79">
        <w:t>kockázatként került azonosításra a megbízói kontroll nem megfelelő működése.</w:t>
      </w:r>
      <w:r w:rsidR="004D179A" w:rsidRPr="004D179A">
        <w:t xml:space="preserve"> A szolgáltatók nagy része ismeri a kockázatokat, bár a felügyeleti tapasztalatok alapján a belső rendszerek nem mindig vannak összhangban a kockázatokkal, illetve sokszor hiányzik a kontroll a hitelintézet részéről, amelynek eredményeképpen a közvetítő sokszor ellenőrizetlen marad.</w:t>
      </w:r>
    </w:p>
    <w:p w14:paraId="07A041D2" w14:textId="259F746C" w:rsidR="00C21207" w:rsidRPr="00A07F4E" w:rsidRDefault="009F0461" w:rsidP="00C21207">
      <w:r w:rsidRPr="009F3A30">
        <w:t xml:space="preserve"> </w:t>
      </w:r>
      <w:r w:rsidR="00464463">
        <w:t>Összegezve</w:t>
      </w:r>
      <w:r w:rsidR="00EF76E7" w:rsidRPr="00A07F4E">
        <w:t>,</w:t>
      </w:r>
      <w:r w:rsidR="00464463">
        <w:t xml:space="preserve"> a</w:t>
      </w:r>
      <w:r w:rsidR="00C21207" w:rsidRPr="00A07F4E">
        <w:t xml:space="preserve"> </w:t>
      </w:r>
      <w:r w:rsidR="00D07AC3" w:rsidRPr="00A07F4E">
        <w:t xml:space="preserve">jogsértések </w:t>
      </w:r>
      <w:r w:rsidR="00464463">
        <w:t xml:space="preserve">jelentős hányada </w:t>
      </w:r>
      <w:r w:rsidR="00C21207" w:rsidRPr="00A07F4E">
        <w:t>az ügyfelek kockázatértékelésé</w:t>
      </w:r>
      <w:r w:rsidR="0002450C">
        <w:t>hez</w:t>
      </w:r>
      <w:r w:rsidR="00C21207" w:rsidRPr="00A07F4E">
        <w:t xml:space="preserve">, a </w:t>
      </w:r>
      <w:r w:rsidR="00464463">
        <w:t>szokatlan</w:t>
      </w:r>
      <w:r w:rsidR="00464463" w:rsidRPr="00A07F4E">
        <w:t xml:space="preserve"> </w:t>
      </w:r>
      <w:r w:rsidR="00C21207" w:rsidRPr="00A07F4E">
        <w:t xml:space="preserve">tranzakciók </w:t>
      </w:r>
      <w:r w:rsidR="0002450C">
        <w:t xml:space="preserve">feldolgozásához és </w:t>
      </w:r>
      <w:r w:rsidR="00464463">
        <w:t>bejelentésé</w:t>
      </w:r>
      <w:r w:rsidR="0002450C">
        <w:t>hez</w:t>
      </w:r>
      <w:r w:rsidR="00C21207" w:rsidRPr="00A07F4E">
        <w:t xml:space="preserve">, </w:t>
      </w:r>
      <w:r w:rsidR="00A4379F" w:rsidRPr="00A07F4E">
        <w:t>a pénzeszköz forrás</w:t>
      </w:r>
      <w:r w:rsidR="00464463">
        <w:t>ának</w:t>
      </w:r>
      <w:r w:rsidR="00A4379F" w:rsidRPr="00A07F4E">
        <w:t xml:space="preserve"> </w:t>
      </w:r>
      <w:r w:rsidR="0002450C">
        <w:t>beszerzéséhez fűződő gyakorlathoz,</w:t>
      </w:r>
      <w:r w:rsidR="00B07D4B" w:rsidRPr="00A07F4E">
        <w:t xml:space="preserve"> </w:t>
      </w:r>
      <w:r w:rsidR="00C21207" w:rsidRPr="00A07F4E">
        <w:t xml:space="preserve">valamint a </w:t>
      </w:r>
      <w:r w:rsidR="00464463">
        <w:t xml:space="preserve">megfelelő </w:t>
      </w:r>
      <w:r w:rsidR="00C21207" w:rsidRPr="00A07F4E">
        <w:t>a képzések</w:t>
      </w:r>
      <w:r w:rsidR="0002450C">
        <w:t>hez</w:t>
      </w:r>
      <w:r w:rsidR="00C21207" w:rsidRPr="00A07F4E">
        <w:t xml:space="preserve"> a</w:t>
      </w:r>
      <w:r w:rsidR="00464463">
        <w:t xml:space="preserve">z </w:t>
      </w:r>
      <w:proofErr w:type="spellStart"/>
      <w:r w:rsidR="00464463">
        <w:t>AML</w:t>
      </w:r>
      <w:proofErr w:type="spellEnd"/>
      <w:r w:rsidR="00464463">
        <w:t>/</w:t>
      </w:r>
      <w:proofErr w:type="spellStart"/>
      <w:r w:rsidR="00464463">
        <w:t>CFT</w:t>
      </w:r>
      <w:proofErr w:type="spellEnd"/>
      <w:r w:rsidR="00464463">
        <w:t xml:space="preserve"> folyamatokhoz kapcsolódó</w:t>
      </w:r>
      <w:r w:rsidR="00C21207" w:rsidRPr="00A07F4E">
        <w:t>tudatossá</w:t>
      </w:r>
      <w:r w:rsidR="0002450C">
        <w:t xml:space="preserve">ghoz kapcsolódott. </w:t>
      </w:r>
    </w:p>
    <w:p w14:paraId="443D760D" w14:textId="77777777" w:rsidR="00D074CD" w:rsidRPr="00A07F4E" w:rsidRDefault="00D074CD" w:rsidP="00A07F4E">
      <w:pPr>
        <w:pStyle w:val="Cmsor3"/>
        <w:numPr>
          <w:ilvl w:val="0"/>
          <w:numId w:val="110"/>
        </w:numPr>
      </w:pPr>
      <w:bookmarkStart w:id="116" w:name="_Toc109906035"/>
      <w:r w:rsidRPr="00A07F4E">
        <w:t>Maradványkockázat</w:t>
      </w:r>
      <w:bookmarkEnd w:id="116"/>
    </w:p>
    <w:p w14:paraId="04E6AE2A" w14:textId="10CAA575" w:rsidR="0020331F" w:rsidRPr="00A07F4E" w:rsidRDefault="00D074CD" w:rsidP="00D074CD">
      <w:r w:rsidRPr="00A07F4E">
        <w:t>A</w:t>
      </w:r>
      <w:r w:rsidR="0002450C">
        <w:t>z MNB</w:t>
      </w:r>
      <w:r w:rsidRPr="00A07F4E">
        <w:t xml:space="preserve"> a maradványkockázatot </w:t>
      </w:r>
      <w:r w:rsidR="00B22A10">
        <w:t>M</w:t>
      </w:r>
      <w:r w:rsidR="00A4379F" w:rsidRPr="00B22A10">
        <w:t>érsékelten jelentősre</w:t>
      </w:r>
      <w:r w:rsidR="00B22A10">
        <w:t xml:space="preserve"> értékeli. </w:t>
      </w:r>
    </w:p>
    <w:tbl>
      <w:tblPr>
        <w:tblW w:w="4040" w:type="dxa"/>
        <w:jc w:val="center"/>
        <w:tblCellMar>
          <w:left w:w="70" w:type="dxa"/>
          <w:right w:w="70" w:type="dxa"/>
        </w:tblCellMar>
        <w:tblLook w:val="04A0" w:firstRow="1" w:lastRow="0" w:firstColumn="1" w:lastColumn="0" w:noHBand="0" w:noVBand="1"/>
      </w:tblPr>
      <w:tblGrid>
        <w:gridCol w:w="2140"/>
        <w:gridCol w:w="1900"/>
      </w:tblGrid>
      <w:tr w:rsidR="0020331F" w:rsidRPr="00A07F4E" w14:paraId="16EE1A26" w14:textId="77777777" w:rsidTr="0020331F">
        <w:trPr>
          <w:trHeight w:val="300"/>
          <w:jc w:val="center"/>
        </w:trPr>
        <w:tc>
          <w:tcPr>
            <w:tcW w:w="2140" w:type="dxa"/>
            <w:tcBorders>
              <w:top w:val="nil"/>
              <w:left w:val="nil"/>
              <w:bottom w:val="nil"/>
              <w:right w:val="nil"/>
            </w:tcBorders>
            <w:shd w:val="clear" w:color="auto" w:fill="auto"/>
            <w:noWrap/>
            <w:vAlign w:val="center"/>
            <w:hideMark/>
          </w:tcPr>
          <w:p w14:paraId="20B421C7" w14:textId="77777777" w:rsidR="0020331F" w:rsidRPr="00A07F4E" w:rsidRDefault="0020331F" w:rsidP="0020331F">
            <w:pPr>
              <w:spacing w:after="0" w:line="240" w:lineRule="auto"/>
              <w:jc w:val="center"/>
              <w:rPr>
                <w:rFonts w:eastAsia="Times New Roman" w:cs="Times New Roman"/>
                <w:b/>
                <w:bCs/>
                <w:color w:val="000000"/>
                <w:sz w:val="18"/>
                <w:szCs w:val="18"/>
              </w:rPr>
            </w:pPr>
            <w:r w:rsidRPr="00A07F4E">
              <w:rPr>
                <w:rFonts w:eastAsia="Times New Roman" w:cs="Times New Roman"/>
                <w:b/>
                <w:bCs/>
                <w:color w:val="000000"/>
                <w:sz w:val="18"/>
                <w:szCs w:val="18"/>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80A2B0" w14:textId="77777777" w:rsidR="0020331F" w:rsidRPr="00A07F4E" w:rsidRDefault="0020331F" w:rsidP="0020331F">
            <w:pPr>
              <w:spacing w:after="0" w:line="240" w:lineRule="auto"/>
              <w:jc w:val="center"/>
              <w:rPr>
                <w:rFonts w:eastAsia="Times New Roman" w:cs="Times New Roman"/>
                <w:color w:val="000000"/>
                <w:sz w:val="18"/>
                <w:szCs w:val="18"/>
              </w:rPr>
            </w:pPr>
            <w:r w:rsidRPr="00A07F4E">
              <w:rPr>
                <w:rFonts w:eastAsia="Times New Roman" w:cs="Times New Roman"/>
                <w:color w:val="000000"/>
                <w:sz w:val="18"/>
                <w:szCs w:val="18"/>
              </w:rPr>
              <w:t>Mérsékelten jelentős</w:t>
            </w:r>
          </w:p>
        </w:tc>
      </w:tr>
    </w:tbl>
    <w:p w14:paraId="01A2B7BA" w14:textId="77777777" w:rsidR="00C345CA" w:rsidRPr="00A07F4E" w:rsidRDefault="00F838B1" w:rsidP="000E0021">
      <w:pPr>
        <w:pStyle w:val="Cmsor2"/>
      </w:pPr>
      <w:bookmarkStart w:id="117" w:name="_Toc109906036"/>
      <w:r w:rsidRPr="00A07F4E">
        <w:t>Befektetési vállalkozások</w:t>
      </w:r>
      <w:bookmarkEnd w:id="117"/>
    </w:p>
    <w:p w14:paraId="5A6F0787" w14:textId="5BBCA044" w:rsidR="009D239B" w:rsidRDefault="009D239B" w:rsidP="00A07F4E">
      <w:pPr>
        <w:pStyle w:val="Cmsor3"/>
        <w:numPr>
          <w:ilvl w:val="0"/>
          <w:numId w:val="114"/>
        </w:numPr>
      </w:pPr>
      <w:bookmarkStart w:id="118" w:name="_Toc109906037"/>
      <w:r w:rsidRPr="00A07F4E">
        <w:t>A szektor méretére, tevékenységi körére és összetettségére vonatkozó információk összesített formában</w:t>
      </w:r>
      <w:bookmarkEnd w:id="118"/>
    </w:p>
    <w:p w14:paraId="268400A7" w14:textId="53B486AA" w:rsidR="009D239B" w:rsidRPr="00122914" w:rsidDel="00D751A7" w:rsidRDefault="00D332B8" w:rsidP="00122914">
      <w:bookmarkStart w:id="119" w:name="_Toc106198663"/>
      <w:bookmarkStart w:id="120" w:name="_Toc106201857"/>
      <w:bookmarkStart w:id="121" w:name="_Toc106869566"/>
      <w:r w:rsidRPr="00595624">
        <w:rPr>
          <w:bCs/>
          <w:szCs w:val="34"/>
        </w:rPr>
        <w:t>A be</w:t>
      </w:r>
      <w:r w:rsidRPr="00122914">
        <w:t xml:space="preserve">fektetési vállalkozás befektetési szolgáltatást nyújt vagy befektetési tevékenységet végez. Befektetési szolgáltatási tevékenységet – fő szabály szerint – befektetési </w:t>
      </w:r>
      <w:r w:rsidRPr="002130DC">
        <w:t>vállalkozás és hitelintézet folytathat.  A jelen</w:t>
      </w:r>
      <w:r w:rsidR="003C675A" w:rsidRPr="002130DC">
        <w:rPr>
          <w:bCs/>
          <w:szCs w:val="34"/>
        </w:rPr>
        <w:t xml:space="preserve"> </w:t>
      </w:r>
      <w:r w:rsidRPr="002130DC">
        <w:t>fejezet tárgya kizárólag a befektetési vállalkozás.</w:t>
      </w:r>
      <w:bookmarkEnd w:id="119"/>
      <w:bookmarkEnd w:id="120"/>
      <w:bookmarkEnd w:id="121"/>
      <w:r w:rsidR="003C675A" w:rsidRPr="002130DC">
        <w:t xml:space="preserve"> </w:t>
      </w:r>
      <w:bookmarkStart w:id="122" w:name="_Toc106201858"/>
      <w:bookmarkStart w:id="123" w:name="_Toc106869567"/>
      <w:r w:rsidR="00CF3DE4" w:rsidRPr="002130DC">
        <w:t>Az</w:t>
      </w:r>
      <w:r w:rsidR="003C675A" w:rsidRPr="002130DC">
        <w:t xml:space="preserve"> MNB </w:t>
      </w:r>
      <w:proofErr w:type="spellStart"/>
      <w:r w:rsidR="003C675A" w:rsidRPr="002130DC">
        <w:t>AML</w:t>
      </w:r>
      <w:proofErr w:type="spellEnd"/>
      <w:r w:rsidR="003C675A" w:rsidRPr="002130DC">
        <w:t>/</w:t>
      </w:r>
      <w:proofErr w:type="spellStart"/>
      <w:r w:rsidR="003C675A" w:rsidRPr="002130DC">
        <w:t>CFT</w:t>
      </w:r>
      <w:proofErr w:type="spellEnd"/>
      <w:r w:rsidR="003C675A" w:rsidRPr="002130DC">
        <w:t xml:space="preserve"> felügyeletet </w:t>
      </w:r>
      <w:r w:rsidR="002130DC" w:rsidRPr="00FC37B3">
        <w:t>13-20</w:t>
      </w:r>
      <w:r w:rsidR="003C675A" w:rsidRPr="00FC37B3">
        <w:t xml:space="preserve"> befektetési vállalkozás és </w:t>
      </w:r>
      <w:r w:rsidR="00CF3DE4" w:rsidRPr="00FC37B3">
        <w:t>3-5</w:t>
      </w:r>
      <w:r w:rsidR="003C675A" w:rsidRPr="00FC37B3">
        <w:t xml:space="preserve"> befektetési vállalkozás</w:t>
      </w:r>
      <w:r w:rsidR="003C675A" w:rsidRPr="002130DC">
        <w:t xml:space="preserve"> </w:t>
      </w:r>
      <w:proofErr w:type="spellStart"/>
      <w:r w:rsidR="003C675A" w:rsidRPr="002130DC">
        <w:t>fióktelepe</w:t>
      </w:r>
      <w:proofErr w:type="spellEnd"/>
      <w:r w:rsidR="003C675A" w:rsidRPr="002130DC">
        <w:t xml:space="preserve"> felett gyakorol.</w:t>
      </w:r>
      <w:bookmarkEnd w:id="122"/>
      <w:bookmarkEnd w:id="123"/>
      <w:r w:rsidR="003C675A">
        <w:t xml:space="preserve"> </w:t>
      </w:r>
    </w:p>
    <w:p w14:paraId="116B7F46" w14:textId="77777777" w:rsidR="00610AD9" w:rsidRPr="00A07F4E" w:rsidRDefault="00610AD9" w:rsidP="00D332B8">
      <w:pPr>
        <w:pStyle w:val="Cmsor3"/>
        <w:numPr>
          <w:ilvl w:val="0"/>
          <w:numId w:val="114"/>
        </w:numPr>
      </w:pPr>
      <w:bookmarkStart w:id="124" w:name="_Toc107236432"/>
      <w:bookmarkStart w:id="125" w:name="_Toc107237340"/>
      <w:bookmarkStart w:id="126" w:name="_Toc107237666"/>
      <w:bookmarkStart w:id="127" w:name="_Toc109906038"/>
      <w:bookmarkEnd w:id="124"/>
      <w:bookmarkEnd w:id="125"/>
      <w:bookmarkEnd w:id="126"/>
      <w:r w:rsidRPr="00A07F4E">
        <w:t>Inherens kockázatértékelés</w:t>
      </w:r>
      <w:bookmarkEnd w:id="127"/>
    </w:p>
    <w:p w14:paraId="63FE6C7B" w14:textId="51FE4B16" w:rsidR="00DA3C66" w:rsidRPr="00A07F4E" w:rsidRDefault="00DA3C66" w:rsidP="00A07F4E">
      <w:pPr>
        <w:pStyle w:val="Listaszerbekezds"/>
        <w:numPr>
          <w:ilvl w:val="1"/>
          <w:numId w:val="15"/>
        </w:numPr>
        <w:ind w:left="851" w:hanging="284"/>
      </w:pPr>
      <w:r w:rsidRPr="00A07F4E">
        <w:t>A befektetési vállalkoz</w:t>
      </w:r>
      <w:r w:rsidR="00DF7502">
        <w:t>ási</w:t>
      </w:r>
      <w:r w:rsidRPr="00A07F4E">
        <w:t xml:space="preserve"> szektorban rejlő ML/</w:t>
      </w:r>
      <w:proofErr w:type="spellStart"/>
      <w:r w:rsidRPr="00A07F4E">
        <w:t>TF</w:t>
      </w:r>
      <w:proofErr w:type="spellEnd"/>
      <w:r w:rsidRPr="00A07F4E">
        <w:t xml:space="preserve"> kockázati tényezők</w:t>
      </w:r>
    </w:p>
    <w:p w14:paraId="09B77E5F" w14:textId="3750FB8D" w:rsidR="003B3261" w:rsidRPr="000E0021" w:rsidRDefault="00610AD9" w:rsidP="00610AD9">
      <w:r w:rsidRPr="003B3261">
        <w:t>A</w:t>
      </w:r>
      <w:r w:rsidR="003B3261">
        <w:t xml:space="preserve"> </w:t>
      </w:r>
      <w:r w:rsidRPr="003B3261">
        <w:t>termé</w:t>
      </w:r>
      <w:r w:rsidR="003B3261" w:rsidRPr="000E0021">
        <w:t xml:space="preserve">k/szolgáltatás, ügyfél, </w:t>
      </w:r>
      <w:r w:rsidR="003B3261" w:rsidRPr="003B3261">
        <w:t>földrajzi,</w:t>
      </w:r>
      <w:r w:rsidR="003B3261" w:rsidRPr="000E0021">
        <w:t xml:space="preserve"> valamint értékesítési csatorn</w:t>
      </w:r>
      <w:r w:rsidR="003B3261">
        <w:t>ához társítható</w:t>
      </w:r>
      <w:r w:rsidR="003B3261" w:rsidRPr="000E0021">
        <w:t xml:space="preserve"> </w:t>
      </w:r>
      <w:r w:rsidR="003B3261">
        <w:t xml:space="preserve">kockázatok </w:t>
      </w:r>
      <w:r w:rsidR="006B7A8F">
        <w:t xml:space="preserve">az alábbiak szerint </w:t>
      </w:r>
      <w:r w:rsidR="00DE1E4F">
        <w:t>értékelte az MNB</w:t>
      </w:r>
      <w:r w:rsidR="006B7A8F">
        <w:t xml:space="preserve"> a szektorban: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B146CB" w:rsidRPr="003168BA" w14:paraId="55302732" w14:textId="77777777" w:rsidTr="000E0021">
        <w:tc>
          <w:tcPr>
            <w:tcW w:w="3061" w:type="dxa"/>
          </w:tcPr>
          <w:p w14:paraId="09551C2B" w14:textId="139E8F52" w:rsidR="00B146CB" w:rsidRPr="000E0021" w:rsidRDefault="00B146CB" w:rsidP="000E0021">
            <w:pPr>
              <w:spacing w:after="0" w:line="240" w:lineRule="auto"/>
              <w:contextualSpacing w:val="0"/>
              <w:jc w:val="center"/>
              <w:rPr>
                <w:rFonts w:eastAsia="Times New Roman" w:cs="Times New Roman"/>
                <w:b/>
                <w:color w:val="000000"/>
                <w:sz w:val="18"/>
                <w:szCs w:val="18"/>
              </w:rPr>
            </w:pPr>
            <w:r w:rsidRPr="000E0021">
              <w:rPr>
                <w:rFonts w:eastAsia="Times New Roman" w:cs="Times New Roman"/>
                <w:b/>
                <w:color w:val="000000"/>
                <w:sz w:val="18"/>
                <w:szCs w:val="18"/>
              </w:rPr>
              <w:t>Kockázat megnevezése</w:t>
            </w:r>
          </w:p>
        </w:tc>
        <w:tc>
          <w:tcPr>
            <w:tcW w:w="3035" w:type="dxa"/>
          </w:tcPr>
          <w:p w14:paraId="21264BA1" w14:textId="5271247E" w:rsidR="00B146CB" w:rsidRPr="000E0021" w:rsidRDefault="00B146CB" w:rsidP="000E0021">
            <w:pPr>
              <w:spacing w:after="0" w:line="240" w:lineRule="auto"/>
              <w:contextualSpacing w:val="0"/>
              <w:jc w:val="center"/>
              <w:rPr>
                <w:rFonts w:eastAsia="Times New Roman" w:cs="Times New Roman"/>
                <w:b/>
                <w:color w:val="000000"/>
                <w:sz w:val="18"/>
                <w:szCs w:val="18"/>
              </w:rPr>
            </w:pPr>
            <w:r w:rsidRPr="000E0021">
              <w:rPr>
                <w:rFonts w:eastAsia="Times New Roman" w:cs="Times New Roman"/>
                <w:b/>
                <w:color w:val="000000"/>
                <w:sz w:val="18"/>
                <w:szCs w:val="18"/>
              </w:rPr>
              <w:t>Kockázati érték</w:t>
            </w:r>
          </w:p>
        </w:tc>
      </w:tr>
      <w:tr w:rsidR="00B146CB" w:rsidRPr="003168BA" w14:paraId="3F00292C" w14:textId="77777777" w:rsidTr="000E0021">
        <w:tc>
          <w:tcPr>
            <w:tcW w:w="3061" w:type="dxa"/>
            <w:shd w:val="clear" w:color="auto" w:fill="auto"/>
          </w:tcPr>
          <w:p w14:paraId="335C7C7C" w14:textId="57901D7A" w:rsidR="00B146CB" w:rsidRPr="000E0021" w:rsidRDefault="00B146CB" w:rsidP="000E0021">
            <w:pPr>
              <w:spacing w:after="0" w:line="240" w:lineRule="auto"/>
              <w:contextualSpacing w:val="0"/>
              <w:jc w:val="center"/>
              <w:rPr>
                <w:rFonts w:eastAsia="Times New Roman" w:cs="Times New Roman"/>
                <w:color w:val="000000"/>
                <w:sz w:val="18"/>
                <w:szCs w:val="18"/>
              </w:rPr>
            </w:pPr>
            <w:r w:rsidRPr="000E0021">
              <w:rPr>
                <w:rFonts w:eastAsia="Times New Roman" w:cs="Times New Roman"/>
                <w:color w:val="000000"/>
                <w:sz w:val="18"/>
                <w:szCs w:val="18"/>
              </w:rPr>
              <w:t>Termék</w:t>
            </w:r>
            <w:r w:rsidR="004A1163" w:rsidRPr="000E0021">
              <w:rPr>
                <w:rFonts w:eastAsia="Times New Roman" w:cs="Times New Roman"/>
                <w:color w:val="000000"/>
                <w:sz w:val="18"/>
                <w:szCs w:val="18"/>
              </w:rPr>
              <w:t>/szolgáltatás</w:t>
            </w:r>
          </w:p>
        </w:tc>
        <w:tc>
          <w:tcPr>
            <w:tcW w:w="3035" w:type="dxa"/>
            <w:shd w:val="clear" w:color="auto" w:fill="FFFF00"/>
          </w:tcPr>
          <w:p w14:paraId="7E207A48" w14:textId="41358892" w:rsidR="00B146CB" w:rsidRPr="000E0021" w:rsidRDefault="00AF43E2" w:rsidP="000E0021">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r w:rsidR="00B146CB" w14:paraId="67B00FD9" w14:textId="77777777" w:rsidTr="000E0021">
        <w:tc>
          <w:tcPr>
            <w:tcW w:w="3061" w:type="dxa"/>
            <w:shd w:val="clear" w:color="auto" w:fill="auto"/>
          </w:tcPr>
          <w:p w14:paraId="04385122" w14:textId="3DC52607" w:rsidR="00B146CB" w:rsidRPr="000E0021" w:rsidRDefault="009D296A" w:rsidP="000E0021">
            <w:pPr>
              <w:spacing w:after="0" w:line="240" w:lineRule="auto"/>
              <w:contextualSpacing w:val="0"/>
              <w:jc w:val="center"/>
              <w:rPr>
                <w:rFonts w:eastAsia="Times New Roman" w:cs="Times New Roman"/>
                <w:color w:val="000000"/>
                <w:sz w:val="18"/>
                <w:szCs w:val="18"/>
              </w:rPr>
            </w:pPr>
            <w:r w:rsidRPr="000E0021">
              <w:rPr>
                <w:rFonts w:eastAsia="Times New Roman" w:cs="Times New Roman"/>
                <w:color w:val="000000"/>
                <w:sz w:val="18"/>
                <w:szCs w:val="18"/>
              </w:rPr>
              <w:t>Ügyfél</w:t>
            </w:r>
          </w:p>
        </w:tc>
        <w:tc>
          <w:tcPr>
            <w:tcW w:w="3035" w:type="dxa"/>
            <w:shd w:val="clear" w:color="auto" w:fill="FFC000"/>
          </w:tcPr>
          <w:p w14:paraId="7F8D3826" w14:textId="62C96BF1" w:rsidR="00B146CB" w:rsidRPr="000E0021" w:rsidRDefault="004D39CF" w:rsidP="000E0021">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Jelentős</w:t>
            </w:r>
          </w:p>
        </w:tc>
      </w:tr>
      <w:tr w:rsidR="00B146CB" w14:paraId="2B9BD759" w14:textId="77777777" w:rsidTr="000E0021">
        <w:trPr>
          <w:trHeight w:val="50"/>
        </w:trPr>
        <w:tc>
          <w:tcPr>
            <w:tcW w:w="3061" w:type="dxa"/>
            <w:shd w:val="clear" w:color="auto" w:fill="auto"/>
          </w:tcPr>
          <w:p w14:paraId="685CF662" w14:textId="2C4335D2" w:rsidR="00B146CB" w:rsidRPr="000E0021" w:rsidRDefault="009D296A" w:rsidP="000E0021">
            <w:pPr>
              <w:spacing w:after="0" w:line="240" w:lineRule="auto"/>
              <w:contextualSpacing w:val="0"/>
              <w:jc w:val="center"/>
              <w:rPr>
                <w:rFonts w:eastAsia="Times New Roman" w:cs="Times New Roman"/>
                <w:color w:val="000000"/>
                <w:sz w:val="18"/>
                <w:szCs w:val="18"/>
              </w:rPr>
            </w:pPr>
            <w:r w:rsidRPr="000E0021">
              <w:rPr>
                <w:rFonts w:eastAsia="Times New Roman" w:cs="Times New Roman"/>
                <w:color w:val="000000"/>
                <w:sz w:val="18"/>
                <w:szCs w:val="18"/>
              </w:rPr>
              <w:t>Földrajzi</w:t>
            </w:r>
          </w:p>
        </w:tc>
        <w:tc>
          <w:tcPr>
            <w:tcW w:w="3035" w:type="dxa"/>
            <w:shd w:val="clear" w:color="auto" w:fill="92D050"/>
          </w:tcPr>
          <w:p w14:paraId="516505C9" w14:textId="5A51A4E3" w:rsidR="00B146CB" w:rsidRPr="000E0021" w:rsidRDefault="00AD1E1C" w:rsidP="000E0021">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B146CB" w14:paraId="67E87165" w14:textId="77777777" w:rsidTr="000E0021">
        <w:tc>
          <w:tcPr>
            <w:tcW w:w="3061" w:type="dxa"/>
            <w:shd w:val="clear" w:color="auto" w:fill="auto"/>
          </w:tcPr>
          <w:p w14:paraId="14A13751" w14:textId="1A6D62F7" w:rsidR="00B146CB" w:rsidRPr="000E0021" w:rsidRDefault="009D296A" w:rsidP="000E0021">
            <w:pPr>
              <w:spacing w:after="0" w:line="240" w:lineRule="auto"/>
              <w:contextualSpacing w:val="0"/>
              <w:jc w:val="center"/>
              <w:rPr>
                <w:rFonts w:eastAsia="Times New Roman" w:cs="Times New Roman"/>
                <w:color w:val="000000"/>
                <w:sz w:val="18"/>
                <w:szCs w:val="18"/>
              </w:rPr>
            </w:pPr>
            <w:r w:rsidRPr="000E0021">
              <w:rPr>
                <w:rFonts w:eastAsia="Times New Roman" w:cs="Times New Roman"/>
                <w:color w:val="000000"/>
                <w:sz w:val="18"/>
                <w:szCs w:val="18"/>
              </w:rPr>
              <w:t>Értékesítési csato</w:t>
            </w:r>
            <w:r w:rsidR="00D00776" w:rsidRPr="00CF11CD">
              <w:rPr>
                <w:rFonts w:eastAsia="Times New Roman" w:cs="Times New Roman"/>
                <w:color w:val="000000"/>
                <w:sz w:val="18"/>
                <w:szCs w:val="18"/>
              </w:rPr>
              <w:t>r</w:t>
            </w:r>
            <w:r w:rsidRPr="000E0021">
              <w:rPr>
                <w:rFonts w:eastAsia="Times New Roman" w:cs="Times New Roman"/>
                <w:color w:val="000000"/>
                <w:sz w:val="18"/>
                <w:szCs w:val="18"/>
              </w:rPr>
              <w:t>na</w:t>
            </w:r>
          </w:p>
        </w:tc>
        <w:tc>
          <w:tcPr>
            <w:tcW w:w="3035" w:type="dxa"/>
            <w:shd w:val="clear" w:color="auto" w:fill="92D050"/>
          </w:tcPr>
          <w:p w14:paraId="07D3EAEE" w14:textId="7CB6C6B4" w:rsidR="00B146CB" w:rsidRPr="000E0021" w:rsidRDefault="00AD1E1C" w:rsidP="000E0021">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bl>
    <w:p w14:paraId="4D6F4A22" w14:textId="3374F70D" w:rsidR="00A248A1" w:rsidRDefault="00A248A1" w:rsidP="00FC37B3">
      <w:pPr>
        <w:spacing w:before="120"/>
      </w:pPr>
      <w:r w:rsidRPr="00A248A1">
        <w:t>A befektetéskezeléshez kapcsolódó ML/</w:t>
      </w:r>
      <w:proofErr w:type="spellStart"/>
      <w:r w:rsidRPr="00A248A1">
        <w:t>TF</w:t>
      </w:r>
      <w:proofErr w:type="spellEnd"/>
      <w:r w:rsidRPr="00A248A1">
        <w:t xml:space="preserve"> kockázatot elsősorban a befektetési vállalkozások által kiszolgált ügyfelek típusához kapcsolódó kockázat befolyásolja. </w:t>
      </w:r>
      <w:r>
        <w:t xml:space="preserve">Kockázatnövelő tényező, hogy a </w:t>
      </w:r>
      <w:r w:rsidR="00AA6C83">
        <w:t xml:space="preserve">szektor </w:t>
      </w:r>
      <w:r w:rsidR="00AA6C83" w:rsidRPr="00AA6C83">
        <w:t xml:space="preserve">többnyire a magas kockázatú ügyfeleknek van kitéve, ideértve a </w:t>
      </w:r>
      <w:r w:rsidR="00AA6C83" w:rsidRPr="00622282">
        <w:t xml:space="preserve">kiemelt közszereplőket </w:t>
      </w:r>
      <w:r w:rsidR="00AA6C83" w:rsidRPr="00AA6C83">
        <w:t xml:space="preserve">is. </w:t>
      </w:r>
    </w:p>
    <w:p w14:paraId="10A97536" w14:textId="77777777" w:rsidR="00E46FB2" w:rsidRDefault="00E46FB2" w:rsidP="00E46FB2">
      <w:r w:rsidRPr="00A248A1">
        <w:t>Kockázati tényező továbbá a képzések hiánya, a személyzet megfelelő ismereteinek és tudatosságának hiánya, amely jelentősen befolyásolhatja a hatékonyságot.</w:t>
      </w:r>
    </w:p>
    <w:p w14:paraId="7C579143" w14:textId="001A9590" w:rsidR="00183E6F" w:rsidRDefault="00183E6F" w:rsidP="00183E6F">
      <w:r>
        <w:t xml:space="preserve">A hazai és a nemzetközi rendszer egyik fő sérülékeny pontja a tényleges tulajdonos kilétének ellenőrzése és az átláthatóságának hiánya, annak okán, hogy nem álltak rendelkezésre megfelelő nyilvántartások. A belső kontroll hiányosságok, vagy a belső védelmi vonalak nem megfelelő működtetése szintén komoly sérülékenységi tényező a szektorban. A magasabb kockázati étvággyal rendelkező intézményeknek a kockázatok nagyságához mérten kell </w:t>
      </w:r>
      <w:r>
        <w:lastRenderedPageBreak/>
        <w:t xml:space="preserve">kialakítani a technológiai, belső védelmi vonalait. A tevékenységből fakadó kockázatokhoz kell igazítani a belső ellenőrző rendszerek, elsősorban a tranzakciómonitoring szűrőrendszer szcenárióit, a hatékonyságot továbbá növeli az </w:t>
      </w:r>
      <w:r w:rsidRPr="001237C8">
        <w:t xml:space="preserve">MNB </w:t>
      </w:r>
      <w:r w:rsidR="00A97162" w:rsidRPr="001237C8">
        <w:t>rendeletben</w:t>
      </w:r>
      <w:r>
        <w:t>, valamint a belső kockázatértékelés alapján meghatározott határidők betartása.</w:t>
      </w:r>
    </w:p>
    <w:p w14:paraId="466CAACE" w14:textId="0AB591D9" w:rsidR="00183E6F" w:rsidRPr="00A07F4E" w:rsidRDefault="00183E6F" w:rsidP="00183E6F">
      <w:r>
        <w:t xml:space="preserve">Kockázatot </w:t>
      </w:r>
      <w:r w:rsidR="00153A1E">
        <w:t>növelő tényező</w:t>
      </w:r>
      <w:r>
        <w:t xml:space="preserve"> továbbá a szolgáltatók túlzott „profitorientált” viselkedése; a brókerek alacsonyabb szintű kontrollokat alkalmaznak annak érdekében, hogy minél több ügyfelet vonzzanak. A befektetési területen a szolgáltató alkalmazottai és a bróker jelentősen érdekeltek az üzleti kapcsolat folytatásában (jutalom fizetés), és ez az ügyfél-átvilágítási kötelezettségek teljes körű elvégzésének háttérbe helyezését, illetve az esetleges bejelentések elmaradását eredményezheti.</w:t>
      </w:r>
    </w:p>
    <w:p w14:paraId="0323630D" w14:textId="5B3A2A5C" w:rsidR="00153A1E" w:rsidRDefault="00183E6F" w:rsidP="00E46FB2">
      <w:r w:rsidRPr="00A248A1">
        <w:t xml:space="preserve">Jelen szektorra is általánosságban elmondható, hogy a szektorhoz tartozó szolgáltatók fejlesztendő </w:t>
      </w:r>
      <w:proofErr w:type="spellStart"/>
      <w:r w:rsidRPr="00A248A1">
        <w:t>AML</w:t>
      </w:r>
      <w:proofErr w:type="spellEnd"/>
      <w:r w:rsidRPr="00A248A1">
        <w:t xml:space="preserve"> tranzakció </w:t>
      </w:r>
      <w:proofErr w:type="spellStart"/>
      <w:r w:rsidRPr="00A248A1">
        <w:t>monitoringgal</w:t>
      </w:r>
      <w:proofErr w:type="spellEnd"/>
      <w:r w:rsidRPr="00A248A1">
        <w:t xml:space="preserve"> és nem megfelelő gyanús ügyletek bejelentésére vonatkozó politikákkal és eljárásokkal rendelkeznek. A szolgáltatók a felügyeleti adatszolgáltatások teljesítése során sok esetben nem megfelelő adatokat bocsátanak rendelkezésre.</w:t>
      </w:r>
    </w:p>
    <w:p w14:paraId="3C0C115B" w14:textId="5350990F" w:rsidR="00153A1E" w:rsidRDefault="00153A1E" w:rsidP="00E46FB2">
      <w:r w:rsidRPr="00D751A7">
        <w:t xml:space="preserve">Kockázatcsökkentő tényező, hogy az ügyfelek pénzeszközeit jellemzően letétkezelő, nem pedig a </w:t>
      </w:r>
      <w:r>
        <w:t>b</w:t>
      </w:r>
      <w:r w:rsidRPr="00D751A7">
        <w:t>efektetési vállalkozás kezeli.</w:t>
      </w:r>
      <w:r w:rsidRPr="00E1488D">
        <w:t xml:space="preserve"> </w:t>
      </w:r>
      <w:r>
        <w:t xml:space="preserve">Emellett a befektetési vállalkozások az általuk végzett tevékenységek jellege miatt piaci visszaéléshez </w:t>
      </w:r>
      <w:r w:rsidRPr="00A248A1">
        <w:t>hasonló alapbűncselekményeknek lehetnek kitéve, ami ML/</w:t>
      </w:r>
      <w:proofErr w:type="spellStart"/>
      <w:r w:rsidRPr="00A248A1">
        <w:t>TF</w:t>
      </w:r>
      <w:proofErr w:type="spellEnd"/>
      <w:r w:rsidRPr="00A248A1">
        <w:t xml:space="preserve"> kockázatot eredményezhet.</w:t>
      </w:r>
    </w:p>
    <w:p w14:paraId="07DF1DFB" w14:textId="52BE1D56" w:rsidR="006D79C5" w:rsidRDefault="00E46FB2" w:rsidP="00610AD9">
      <w:r>
        <w:t xml:space="preserve">A nemzetközi gyakorlat kockázatként detektálta, hogy a szolgáltatók ügyfelei milyen mértékben teszik ki a szolgáltatót kockázatoknak, mind az ügyfelek dokumentumainak azonosítása és ellenőrzése, mind pedig az összetett vállalati struktúrák tényleges tulajdonosainak azonosítása során felmerülő nehézségek tekintetében. A nemzetközi gyakorlat szerint az ügyfélkockázati kitettség tovább nő a nagy vagyonnal rendelkező magánszemélyek számossága miatt, valamint a vagyon- és a pénzeszköz forrásának megértése során tapasztalt nehézségek miatt, ideértve azon ügyfeleket is, akik a tartózkodási jog és az állampolgárság megszerzése miatt igényelnek szolgáltatásokat. A földrajzi kockázat is nőtt a korábbiakhoz képest, amely a magas kockázatú országok területén folytatott tevékenységekből származó ügyfélforrásoknak és/vagy a magas kockázatú országok területén lévő pénzügyi intézményekből átutalt pénzeszközöknek tulajdonítható. A termékben rejlő kockázat azonban csökkenő tendenciát mutat.  Ez annak az eredménye lehet, hogy a befektetési vállalkozások korlátozták a magasabb kockázatú szolgáltatások, így a </w:t>
      </w:r>
      <w:proofErr w:type="spellStart"/>
      <w:r>
        <w:t>nominee</w:t>
      </w:r>
      <w:proofErr w:type="spellEnd"/>
      <w:r>
        <w:t>-szolgáltatások nyújtását.</w:t>
      </w:r>
      <w:r w:rsidR="0069701E">
        <w:t xml:space="preserve"> </w:t>
      </w:r>
      <w:r w:rsidR="00D92268" w:rsidRPr="00A07F4E">
        <w:t>A</w:t>
      </w:r>
      <w:r w:rsidR="005124DA">
        <w:t xml:space="preserve">z </w:t>
      </w:r>
      <w:r w:rsidR="005124DA" w:rsidRPr="008B6B9B">
        <w:t>MNB</w:t>
      </w:r>
      <w:r w:rsidR="00D92268" w:rsidRPr="008B6B9B">
        <w:t xml:space="preserve"> az inherens</w:t>
      </w:r>
      <w:r w:rsidR="00D92268" w:rsidRPr="00A07F4E">
        <w:t xml:space="preserve"> kockázat értékelésénél az </w:t>
      </w:r>
      <w:r w:rsidR="00D92268" w:rsidRPr="00606A23">
        <w:t xml:space="preserve">illetékes </w:t>
      </w:r>
      <w:r w:rsidR="00606A23" w:rsidRPr="000E0021">
        <w:t xml:space="preserve">külföldi felügyeleti </w:t>
      </w:r>
      <w:r w:rsidR="00D92268" w:rsidRPr="00606A23">
        <w:t>hatóságok</w:t>
      </w:r>
      <w:r w:rsidR="00D92268" w:rsidRPr="00A07F4E">
        <w:t xml:space="preserve"> tapasztalatait is figyelembe vette. </w:t>
      </w:r>
    </w:p>
    <w:p w14:paraId="51C73637" w14:textId="739EFDE5" w:rsidR="00AF1E40" w:rsidRPr="00A07F4E" w:rsidRDefault="00AF1E40" w:rsidP="00A07F4E">
      <w:pPr>
        <w:pStyle w:val="Listaszerbekezds"/>
        <w:numPr>
          <w:ilvl w:val="1"/>
          <w:numId w:val="15"/>
        </w:numPr>
        <w:ind w:left="851" w:hanging="284"/>
      </w:pPr>
      <w:r w:rsidRPr="00A07F4E">
        <w:t xml:space="preserve">A </w:t>
      </w:r>
      <w:r w:rsidR="005124DA">
        <w:t>B</w:t>
      </w:r>
      <w:r w:rsidRPr="00A07F4E">
        <w:t>efektet</w:t>
      </w:r>
      <w:r w:rsidR="005124DA">
        <w:t>ési</w:t>
      </w:r>
      <w:r w:rsidRPr="00A07F4E">
        <w:t xml:space="preserve"> </w:t>
      </w:r>
      <w:r w:rsidR="008D07A5">
        <w:t>v</w:t>
      </w:r>
      <w:r w:rsidRPr="00A07F4E">
        <w:t>állalkoz</w:t>
      </w:r>
      <w:r w:rsidR="005124DA">
        <w:t>ási</w:t>
      </w:r>
      <w:r w:rsidRPr="00A07F4E">
        <w:t xml:space="preserve"> szektorban rejlő, határokon átnyúló ML/</w:t>
      </w:r>
      <w:proofErr w:type="spellStart"/>
      <w:r w:rsidRPr="00A07F4E">
        <w:t>TF</w:t>
      </w:r>
      <w:proofErr w:type="spellEnd"/>
      <w:r w:rsidRPr="00A07F4E">
        <w:t xml:space="preserve"> kockázatok</w:t>
      </w:r>
    </w:p>
    <w:p w14:paraId="7534E759" w14:textId="1512CF3E" w:rsidR="00AA6C83" w:rsidRDefault="00AA6C83" w:rsidP="005124DA">
      <w:r>
        <w:t xml:space="preserve">Kockázatot hordoz, hogy a befektetésekkel </w:t>
      </w:r>
      <w:r w:rsidRPr="00AA6C83">
        <w:t>érintett ügyletek volumene jelentős, a határon átnyúló tranzakciók szintje magas.</w:t>
      </w:r>
      <w:r w:rsidR="00183E6F">
        <w:t xml:space="preserve"> Bár a fizetések nem </w:t>
      </w:r>
      <w:r w:rsidR="00144800">
        <w:t>névtelenek</w:t>
      </w:r>
      <w:r w:rsidR="00183E6F">
        <w:t xml:space="preserve"> (mivel azonosított számlához kapcsolódnak), </w:t>
      </w:r>
      <w:r w:rsidR="00144800">
        <w:t xml:space="preserve">azonban </w:t>
      </w:r>
      <w:r w:rsidR="00183E6F">
        <w:t>magasabb kockázatú ügyfelekkel vagy országokkal való kapcsolattartással járhatnak, különösen, ha határokon átnyúló tranzakciókról van szó.</w:t>
      </w:r>
    </w:p>
    <w:p w14:paraId="5B79FA5F" w14:textId="5D686B25" w:rsidR="005124DA" w:rsidRPr="00A07F4E" w:rsidRDefault="005124DA" w:rsidP="000A1827">
      <w:r>
        <w:t xml:space="preserve">A hazai </w:t>
      </w:r>
      <w:r w:rsidR="002513AF">
        <w:t>b</w:t>
      </w:r>
      <w:r>
        <w:t>efektetési vállalkozási szektorra</w:t>
      </w:r>
      <w:r w:rsidR="00AA6C83">
        <w:t xml:space="preserve"> azonban elmondható, hogy</w:t>
      </w:r>
      <w:r>
        <w:t xml:space="preserve"> többségében nem jellemző a külföldi érintettség,</w:t>
      </w:r>
      <w:r w:rsidR="00AA6C83">
        <w:t xml:space="preserve"> a szolgáltatók</w:t>
      </w:r>
      <w:r>
        <w:t xml:space="preserve"> tipikusan magyar ügyfelekkel rendelkeznek. A hazai </w:t>
      </w:r>
      <w:r w:rsidR="002513AF">
        <w:t>be</w:t>
      </w:r>
      <w:r>
        <w:t xml:space="preserve">fektetési vállalkozások </w:t>
      </w:r>
      <w:r w:rsidR="002513AF">
        <w:t xml:space="preserve">többsége </w:t>
      </w:r>
      <w:r>
        <w:t>jellemzően magyar magánszemélyekből álló tulajdonosi körrel rendelkez</w:t>
      </w:r>
      <w:r w:rsidR="002513AF">
        <w:t>ik</w:t>
      </w:r>
      <w:r>
        <w:t>, közvetlenül és/vagy részben vagy egészében közvetetten magántőkealapon, külföldi bizalmi vagyonkezelőn, vagy hazai gazdasági társaságon keresztül</w:t>
      </w:r>
      <w:r w:rsidR="002513AF">
        <w:t xml:space="preserve">. </w:t>
      </w:r>
    </w:p>
    <w:p w14:paraId="25B508E5" w14:textId="75E9F559" w:rsidR="00076FD0" w:rsidRPr="00A07F4E" w:rsidRDefault="008D12FF" w:rsidP="000A1827">
      <w:r w:rsidRPr="002513AF">
        <w:t xml:space="preserve">Az </w:t>
      </w:r>
      <w:proofErr w:type="spellStart"/>
      <w:r w:rsidRPr="002513AF">
        <w:t>EBA</w:t>
      </w:r>
      <w:proofErr w:type="spellEnd"/>
      <w:r w:rsidRPr="002513AF">
        <w:t xml:space="preserve"> </w:t>
      </w:r>
      <w:proofErr w:type="spellStart"/>
      <w:r w:rsidRPr="002513AF">
        <w:t>Opinion</w:t>
      </w:r>
      <w:proofErr w:type="spellEnd"/>
      <w:r w:rsidRPr="002513AF">
        <w:t xml:space="preserve"> alapján, illetékes hatóságok többsége úgy értékelte, hogy a szektor mérsékelten jelentős mértékben van </w:t>
      </w:r>
      <w:r w:rsidR="00EA6C27" w:rsidRPr="002513AF">
        <w:t>ki</w:t>
      </w:r>
      <w:r w:rsidRPr="002513AF">
        <w:t>téve a határokon átnyúló tevékenységekből eredő ML/FT kockázatoknak.</w:t>
      </w:r>
      <w:r w:rsidRPr="00A07F4E">
        <w:t xml:space="preserve"> </w:t>
      </w:r>
    </w:p>
    <w:p w14:paraId="2D22F702" w14:textId="148A7B64" w:rsidR="00301FDE" w:rsidRPr="00A07F4E" w:rsidRDefault="00301FDE" w:rsidP="000A1827">
      <w:pPr>
        <w:rPr>
          <w:b/>
          <w:bCs/>
        </w:rPr>
      </w:pPr>
      <w:r w:rsidRPr="00A07F4E">
        <w:rPr>
          <w:b/>
          <w:bCs/>
        </w:rPr>
        <w:t>A</w:t>
      </w:r>
      <w:r w:rsidR="000E7A77">
        <w:rPr>
          <w:b/>
          <w:bCs/>
        </w:rPr>
        <w:t>z MNB</w:t>
      </w:r>
      <w:r w:rsidRPr="00A07F4E">
        <w:rPr>
          <w:b/>
          <w:bCs/>
        </w:rPr>
        <w:t xml:space="preserve"> értékelése alapján a </w:t>
      </w:r>
      <w:r w:rsidR="00606A23">
        <w:rPr>
          <w:b/>
          <w:bCs/>
        </w:rPr>
        <w:t>b</w:t>
      </w:r>
      <w:r w:rsidRPr="00A07F4E">
        <w:rPr>
          <w:b/>
          <w:bCs/>
        </w:rPr>
        <w:t>efektetési vállalkoz</w:t>
      </w:r>
      <w:r w:rsidR="005124DA">
        <w:rPr>
          <w:b/>
          <w:bCs/>
        </w:rPr>
        <w:t>ási</w:t>
      </w:r>
      <w:r w:rsidRPr="00A07F4E">
        <w:rPr>
          <w:b/>
          <w:bCs/>
        </w:rPr>
        <w:t xml:space="preserve"> szektor Mérsékelten jelentős inherens kockázati értékkel rendelkezik, amely megegyezik az </w:t>
      </w:r>
      <w:proofErr w:type="spellStart"/>
      <w:r w:rsidRPr="00A07F4E">
        <w:rPr>
          <w:b/>
          <w:bCs/>
        </w:rPr>
        <w:t>EBA</w:t>
      </w:r>
      <w:proofErr w:type="spellEnd"/>
      <w:r w:rsidRPr="00A07F4E">
        <w:rPr>
          <w:b/>
          <w:bCs/>
        </w:rPr>
        <w:t xml:space="preserve"> </w:t>
      </w:r>
      <w:proofErr w:type="spellStart"/>
      <w:r w:rsidRPr="00A07F4E">
        <w:rPr>
          <w:b/>
          <w:bCs/>
        </w:rPr>
        <w:t>Opinion</w:t>
      </w:r>
      <w:proofErr w:type="spellEnd"/>
      <w:r w:rsidRPr="00A07F4E">
        <w:rPr>
          <w:b/>
          <w:bCs/>
        </w:rPr>
        <w:t xml:space="preserve"> összegzése szerinti, </w:t>
      </w:r>
      <w:r w:rsidR="000E0021">
        <w:rPr>
          <w:b/>
          <w:bCs/>
        </w:rPr>
        <w:t xml:space="preserve">a </w:t>
      </w:r>
      <w:r w:rsidR="004250ED">
        <w:rPr>
          <w:b/>
          <w:bCs/>
        </w:rPr>
        <w:t>leg</w:t>
      </w:r>
      <w:r w:rsidRPr="00A07F4E">
        <w:rPr>
          <w:b/>
          <w:bCs/>
        </w:rPr>
        <w:t>több illetékes hatóság értékelésével.</w:t>
      </w:r>
    </w:p>
    <w:tbl>
      <w:tblPr>
        <w:tblW w:w="4040" w:type="dxa"/>
        <w:jc w:val="center"/>
        <w:tblCellMar>
          <w:left w:w="70" w:type="dxa"/>
          <w:right w:w="70" w:type="dxa"/>
        </w:tblCellMar>
        <w:tblLook w:val="04A0" w:firstRow="1" w:lastRow="0" w:firstColumn="1" w:lastColumn="0" w:noHBand="0" w:noVBand="1"/>
      </w:tblPr>
      <w:tblGrid>
        <w:gridCol w:w="2140"/>
        <w:gridCol w:w="1900"/>
      </w:tblGrid>
      <w:tr w:rsidR="008D12FF" w:rsidRPr="00A07F4E" w14:paraId="5CD5AEEC" w14:textId="77777777" w:rsidTr="008D12FF">
        <w:trPr>
          <w:trHeight w:val="300"/>
          <w:jc w:val="center"/>
        </w:trPr>
        <w:tc>
          <w:tcPr>
            <w:tcW w:w="2140" w:type="dxa"/>
            <w:tcBorders>
              <w:top w:val="nil"/>
              <w:left w:val="nil"/>
              <w:bottom w:val="nil"/>
              <w:right w:val="nil"/>
            </w:tcBorders>
            <w:shd w:val="clear" w:color="auto" w:fill="auto"/>
            <w:noWrap/>
            <w:vAlign w:val="center"/>
            <w:hideMark/>
          </w:tcPr>
          <w:p w14:paraId="316ADBF2" w14:textId="77777777" w:rsidR="008D12FF" w:rsidRPr="00A07F4E" w:rsidRDefault="008D12FF" w:rsidP="008D12FF">
            <w:pPr>
              <w:spacing w:after="0" w:line="240" w:lineRule="auto"/>
              <w:jc w:val="center"/>
              <w:rPr>
                <w:rFonts w:eastAsia="Times New Roman" w:cs="Calibri"/>
                <w:b/>
                <w:bCs/>
                <w:color w:val="000000"/>
              </w:rPr>
            </w:pPr>
            <w:r w:rsidRPr="00A07F4E">
              <w:rPr>
                <w:rFonts w:eastAsia="Times New Roman" w:cs="Calibri"/>
                <w:b/>
                <w:bCs/>
                <w:color w:val="000000"/>
              </w:rPr>
              <w:t>Inherens kockázat:</w:t>
            </w:r>
            <w:r w:rsidRPr="00A07F4E">
              <w:rPr>
                <w:rFonts w:eastAsia="Times New Roman" w:cs="Calibri"/>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84B30B" w14:textId="77777777" w:rsidR="008D12FF" w:rsidRPr="00A07F4E" w:rsidRDefault="008D12FF" w:rsidP="008D12FF">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bl>
    <w:p w14:paraId="05602F30" w14:textId="77777777" w:rsidR="00C63813" w:rsidRDefault="00C63813" w:rsidP="00C63813"/>
    <w:p w14:paraId="0CA46C61" w14:textId="681193CE" w:rsidR="00D86EEF" w:rsidRPr="00A07F4E" w:rsidRDefault="00D86EEF" w:rsidP="00A07F4E">
      <w:pPr>
        <w:pStyle w:val="Cmsor3"/>
        <w:numPr>
          <w:ilvl w:val="0"/>
          <w:numId w:val="114"/>
        </w:numPr>
      </w:pPr>
      <w:bookmarkStart w:id="128" w:name="_Toc109906039"/>
      <w:r w:rsidRPr="00A07F4E">
        <w:lastRenderedPageBreak/>
        <w:t>Az ellenőrzések minősége</w:t>
      </w:r>
      <w:bookmarkEnd w:id="128"/>
    </w:p>
    <w:p w14:paraId="60C6A166" w14:textId="7C86FF7F" w:rsidR="00D86EEF" w:rsidRDefault="00D86EEF" w:rsidP="00D86EEF">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az illetékes </w:t>
      </w:r>
      <w:r w:rsidR="00A03E21">
        <w:t xml:space="preserve">külföldi </w:t>
      </w:r>
      <w:r w:rsidR="00AC2464">
        <w:t xml:space="preserve">felügyeleti </w:t>
      </w:r>
      <w:r w:rsidRPr="00A07F4E">
        <w:t xml:space="preserve">hatóságok </w:t>
      </w:r>
      <w:r w:rsidR="005818C7" w:rsidRPr="00A07F4E">
        <w:t>összességében</w:t>
      </w:r>
      <w:r w:rsidRPr="00A07F4E">
        <w:t xml:space="preserve"> </w:t>
      </w:r>
      <w:r w:rsidRPr="00AC2464">
        <w:t>a</w:t>
      </w:r>
      <w:r w:rsidR="00A03E21" w:rsidRPr="00AC2464">
        <w:t xml:space="preserve"> szektorhoz tartozó szolgáltatók</w:t>
      </w:r>
      <w:r w:rsidRPr="00AC2464">
        <w:t xml:space="preserve"> </w:t>
      </w:r>
      <w:r w:rsidR="00A03E21" w:rsidRPr="00AC2464">
        <w:t xml:space="preserve">által végzett </w:t>
      </w:r>
      <w:r w:rsidRPr="00AC2464">
        <w:t>ellenőrzés</w:t>
      </w:r>
      <w:r w:rsidR="00A03E21" w:rsidRPr="00AC2464">
        <w:t>ének</w:t>
      </w:r>
      <w:r w:rsidR="00A03E21">
        <w:t xml:space="preserve"> </w:t>
      </w:r>
      <w:r w:rsidR="00C336A8" w:rsidRPr="00A07F4E">
        <w:t>minőségével elégedett volt</w:t>
      </w:r>
      <w:r w:rsidRPr="00A07F4E">
        <w:t xml:space="preserve">, </w:t>
      </w:r>
      <w:r w:rsidR="005818C7" w:rsidRPr="00A07F4E">
        <w:t xml:space="preserve">azt jónak értékelte. Az illetékes </w:t>
      </w:r>
      <w:r w:rsidR="00AC2464">
        <w:t>külföldi felügyeleti</w:t>
      </w:r>
      <w:r w:rsidR="005818C7" w:rsidRPr="00A07F4E">
        <w:t xml:space="preserve"> hatóságok különösen a nyi</w:t>
      </w:r>
      <w:r w:rsidR="008B6B9B">
        <w:t>l</w:t>
      </w:r>
      <w:r w:rsidR="005818C7" w:rsidRPr="00A07F4E">
        <w:t xml:space="preserve">vántartási politikák és eljárások megfelelőségével és hatékonyságával, valamint az ügyfél-azonosítási politikák és eljárások megfelelőségével kapcsolatos ellenőrzésekkel </w:t>
      </w:r>
      <w:r w:rsidR="00666950" w:rsidRPr="00A07F4E">
        <w:t xml:space="preserve">kapcsolatban </w:t>
      </w:r>
      <w:r w:rsidR="005818C7" w:rsidRPr="00A07F4E">
        <w:t>tűntek elégedettnek.</w:t>
      </w:r>
      <w:r w:rsidR="00E320B7" w:rsidRPr="00A07F4E">
        <w:t xml:space="preserve"> A</w:t>
      </w:r>
      <w:r w:rsidR="005818C7" w:rsidRPr="00A07F4E">
        <w:t xml:space="preserve">z illetékes </w:t>
      </w:r>
      <w:r w:rsidR="00AC2464">
        <w:t>külföldi felügyeleti</w:t>
      </w:r>
      <w:r w:rsidR="005818C7" w:rsidRPr="00A07F4E">
        <w:t xml:space="preserve"> hatóságok jelentős része</w:t>
      </w:r>
      <w:r w:rsidRPr="00A07F4E">
        <w:t xml:space="preserve"> gyanús tranzakciók </w:t>
      </w:r>
      <w:proofErr w:type="spellStart"/>
      <w:r w:rsidR="000E0021">
        <w:t>FIU-nak</w:t>
      </w:r>
      <w:proofErr w:type="spellEnd"/>
      <w:r w:rsidRPr="00A07F4E">
        <w:t xml:space="preserve"> történő bejelentésére vonatkozó eljárás</w:t>
      </w:r>
      <w:r w:rsidR="00C336A8" w:rsidRPr="00A07F4E">
        <w:t>oka</w:t>
      </w:r>
      <w:r w:rsidRPr="00A07F4E">
        <w:t xml:space="preserve">t, illetve </w:t>
      </w:r>
      <w:r w:rsidR="00C336A8" w:rsidRPr="00A07F4E">
        <w:t>a folyamatos monitoring</w:t>
      </w:r>
      <w:r w:rsidRPr="00A07F4E">
        <w:t xml:space="preserve"> hatékonyságát kifogásolt</w:t>
      </w:r>
      <w:r w:rsidR="00BC75CF" w:rsidRPr="00A07F4E">
        <w:t>a</w:t>
      </w:r>
      <w:r w:rsidR="00C336A8" w:rsidRPr="00A07F4E">
        <w:t>, azokat gyengének, illetve nagyon gyengének értékelt</w:t>
      </w:r>
      <w:r w:rsidR="00E320B7" w:rsidRPr="00A07F4E">
        <w:t>e</w:t>
      </w:r>
      <w:r w:rsidR="00C336A8" w:rsidRPr="00A07F4E">
        <w:t xml:space="preserve">. </w:t>
      </w:r>
      <w:r w:rsidRPr="00A07F4E">
        <w:t xml:space="preserve"> </w:t>
      </w:r>
    </w:p>
    <w:p w14:paraId="0A62343B" w14:textId="77777777" w:rsidR="000470E1" w:rsidRPr="00A07F4E" w:rsidRDefault="000470E1" w:rsidP="00A07F4E">
      <w:pPr>
        <w:pStyle w:val="Cmsor3"/>
        <w:numPr>
          <w:ilvl w:val="0"/>
          <w:numId w:val="114"/>
        </w:numPr>
      </w:pPr>
      <w:bookmarkStart w:id="129" w:name="_Toc109906040"/>
      <w:r w:rsidRPr="00A07F4E">
        <w:t>Felügyeleti tevékenység</w:t>
      </w:r>
      <w:bookmarkEnd w:id="129"/>
    </w:p>
    <w:p w14:paraId="747A72CD" w14:textId="6DC61A6C" w:rsidR="00BD34D6" w:rsidRPr="00A07F4E" w:rsidRDefault="000470E1" w:rsidP="000470E1">
      <w:r w:rsidRPr="00153A1E">
        <w:t>A</w:t>
      </w:r>
      <w:r w:rsidR="00981A39" w:rsidRPr="00153A1E">
        <w:t>z MNB</w:t>
      </w:r>
      <w:r w:rsidR="00AC2464">
        <w:t xml:space="preserve"> </w:t>
      </w:r>
      <w:r w:rsidRPr="00981A39">
        <w:t>a</w:t>
      </w:r>
      <w:r w:rsidRPr="00A07F4E">
        <w:t xml:space="preserve"> szektor Mérsékelten jelentős inherens kockázati besorolására tekintettel kisebb hangsúlyt fektetett jelen szektor </w:t>
      </w:r>
      <w:proofErr w:type="spellStart"/>
      <w:r w:rsidR="00C6429F">
        <w:t>on</w:t>
      </w:r>
      <w:proofErr w:type="spellEnd"/>
      <w:r w:rsidR="00C6429F">
        <w:t xml:space="preserve">-site </w:t>
      </w:r>
      <w:r w:rsidRPr="00A07F4E">
        <w:t>ellenőrzésére</w:t>
      </w:r>
      <w:r w:rsidR="000C6686" w:rsidRPr="00A07F4E">
        <w:t xml:space="preserve">, az elmúlt időszakban </w:t>
      </w:r>
      <w:r w:rsidR="005A109F" w:rsidRPr="00A07F4E">
        <w:t xml:space="preserve">néhány </w:t>
      </w:r>
      <w:r w:rsidR="000C6686" w:rsidRPr="00A07F4E">
        <w:t xml:space="preserve">teljes körű, </w:t>
      </w:r>
      <w:proofErr w:type="spellStart"/>
      <w:r w:rsidR="000C6686" w:rsidRPr="00A07F4E">
        <w:t>on</w:t>
      </w:r>
      <w:proofErr w:type="spellEnd"/>
      <w:r w:rsidR="000C6686" w:rsidRPr="00A07F4E">
        <w:t>-site vizsgálat került lefolytatásra</w:t>
      </w:r>
      <w:r w:rsidRPr="00A07F4E">
        <w:t xml:space="preserve">. A szektor </w:t>
      </w:r>
      <w:proofErr w:type="spellStart"/>
      <w:r w:rsidR="005A109F" w:rsidRPr="00A07F4E">
        <w:t>off</w:t>
      </w:r>
      <w:proofErr w:type="spellEnd"/>
      <w:r w:rsidR="005A109F" w:rsidRPr="00A07F4E">
        <w:t xml:space="preserve">-site </w:t>
      </w:r>
      <w:r w:rsidRPr="00A07F4E">
        <w:t xml:space="preserve">felügyelete az éves és negyedéves adatszolgáltatások </w:t>
      </w:r>
      <w:r w:rsidR="005A109F" w:rsidRPr="00A07F4E">
        <w:t>felhasználásával elsődlegesen folyamatos felügyelés keretében</w:t>
      </w:r>
      <w:r w:rsidRPr="00A07F4E">
        <w:t xml:space="preserve"> történik.</w:t>
      </w:r>
    </w:p>
    <w:p w14:paraId="18932B98" w14:textId="7514B845" w:rsidR="001A2918" w:rsidRDefault="00BD34D6" w:rsidP="000470E1">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 legtöbb illetékes hatóság az </w:t>
      </w:r>
      <w:proofErr w:type="spellStart"/>
      <w:r w:rsidRPr="00A07F4E">
        <w:t>off</w:t>
      </w:r>
      <w:proofErr w:type="spellEnd"/>
      <w:r w:rsidRPr="00A07F4E">
        <w:t xml:space="preserve">-site vizsgálatokat alkalmazta a szektor ellenőrzésére, illetve teljes körű </w:t>
      </w:r>
      <w:proofErr w:type="spellStart"/>
      <w:r w:rsidRPr="00A07F4E">
        <w:t>on</w:t>
      </w:r>
      <w:proofErr w:type="spellEnd"/>
      <w:r w:rsidRPr="00A07F4E">
        <w:t xml:space="preserve">-site vizsgálatokat ütemezett. </w:t>
      </w:r>
      <w:r w:rsidR="000470E1" w:rsidRPr="00A07F4E">
        <w:t xml:space="preserve"> </w:t>
      </w:r>
      <w:r w:rsidRPr="00A07F4E">
        <w:t xml:space="preserve">Az illetékes hatóságoknál az </w:t>
      </w:r>
      <w:proofErr w:type="spellStart"/>
      <w:r w:rsidRPr="00A07F4E">
        <w:t>AML</w:t>
      </w:r>
      <w:proofErr w:type="spellEnd"/>
      <w:r w:rsidRPr="00A07F4E">
        <w:t>/</w:t>
      </w:r>
      <w:proofErr w:type="spellStart"/>
      <w:r w:rsidRPr="00A07F4E">
        <w:t>CFT</w:t>
      </w:r>
      <w:proofErr w:type="spellEnd"/>
      <w:r w:rsidRPr="00A07F4E">
        <w:t xml:space="preserve"> jelentések száma nőtt, illetve kis hányada jelezte a hatóságoknak</w:t>
      </w:r>
      <w:r w:rsidR="000F1F12" w:rsidRPr="00A07F4E">
        <w:t>,</w:t>
      </w:r>
      <w:r w:rsidRPr="00A07F4E">
        <w:t xml:space="preserve"> hogy nem végzett egyáltalán vizsgálatokat a szektorban. </w:t>
      </w:r>
    </w:p>
    <w:p w14:paraId="60FC2947" w14:textId="77777777" w:rsidR="000F1F12" w:rsidRPr="00A07F4E" w:rsidRDefault="000F1F12" w:rsidP="00A07F4E">
      <w:pPr>
        <w:pStyle w:val="Cmsor3"/>
        <w:numPr>
          <w:ilvl w:val="0"/>
          <w:numId w:val="114"/>
        </w:numPr>
      </w:pPr>
      <w:bookmarkStart w:id="130" w:name="_Toc109906041"/>
      <w:r w:rsidRPr="00A07F4E">
        <w:t>Azonosított jogsértések</w:t>
      </w:r>
      <w:bookmarkEnd w:id="130"/>
    </w:p>
    <w:p w14:paraId="662FFB9A" w14:textId="760A8549" w:rsidR="000F1F12" w:rsidRDefault="00071793" w:rsidP="006D3FF2">
      <w:r w:rsidRPr="00071793">
        <w:t xml:space="preserve">Az MNB a felügyeleti vizsgálatok során az ügyfelek kockázatértékelésével, a gyanús tranzakciók kapcsán a bejelentési kötelezettség elmulasztásával, illetve az oktatásokkal kapcsolatban azonosított jogsértéseket. </w:t>
      </w:r>
      <w:r w:rsidR="000F1F12" w:rsidRPr="00A07F4E">
        <w:t>Az illetékes hatóságok</w:t>
      </w:r>
      <w:r w:rsidR="006D3FF2" w:rsidRPr="00A07F4E">
        <w:t>nál</w:t>
      </w:r>
      <w:r w:rsidR="000F1F12" w:rsidRPr="00A07F4E">
        <w:t xml:space="preserve"> – az </w:t>
      </w:r>
      <w:proofErr w:type="spellStart"/>
      <w:r w:rsidR="000F1F12" w:rsidRPr="00A07F4E">
        <w:t>EBA</w:t>
      </w:r>
      <w:proofErr w:type="spellEnd"/>
      <w:r w:rsidR="000F1F12" w:rsidRPr="00A07F4E">
        <w:t xml:space="preserve"> </w:t>
      </w:r>
      <w:proofErr w:type="spellStart"/>
      <w:r w:rsidR="000F1F12" w:rsidRPr="00A07F4E">
        <w:t>Opinion</w:t>
      </w:r>
      <w:proofErr w:type="spellEnd"/>
      <w:r w:rsidR="000F1F12" w:rsidRPr="00A07F4E">
        <w:t xml:space="preserve"> alapján –</w:t>
      </w:r>
      <w:r w:rsidR="006D3FF2" w:rsidRPr="00A07F4E">
        <w:t xml:space="preserve"> a leggyakoribb jogsértések az ügyfelek azonosításával és ellenőrzésével, a folyamatos </w:t>
      </w:r>
      <w:proofErr w:type="spellStart"/>
      <w:r w:rsidR="006D3FF2" w:rsidRPr="00A07F4E">
        <w:t>monitoringgal</w:t>
      </w:r>
      <w:proofErr w:type="spellEnd"/>
      <w:r w:rsidR="006D3FF2" w:rsidRPr="00A07F4E">
        <w:t xml:space="preserve">, a belső ellenőrzések hiányosságaival (beleértve az átfogó </w:t>
      </w:r>
      <w:proofErr w:type="spellStart"/>
      <w:r w:rsidR="006D3FF2" w:rsidRPr="00A07F4E">
        <w:t>AML</w:t>
      </w:r>
      <w:proofErr w:type="spellEnd"/>
      <w:r w:rsidR="006D3FF2" w:rsidRPr="00A07F4E">
        <w:t>/</w:t>
      </w:r>
      <w:proofErr w:type="spellStart"/>
      <w:r w:rsidR="006D3FF2" w:rsidRPr="00A07F4E">
        <w:t>CFT</w:t>
      </w:r>
      <w:proofErr w:type="spellEnd"/>
      <w:r w:rsidR="006D3FF2" w:rsidRPr="00A07F4E">
        <w:t>-szabályokat és eljárásokat), a gyanús tranzakciók bejelentésével, az ügyfélkockázat értékelésével, valamint az irányítási és megfelelési funkció hiányosságaival voltak kapcsolatosak. A szektorban az illetékes hatóságok által megállapított jogsértések azonban nagyrészt kisebb jelentőségűek voltak.</w:t>
      </w:r>
      <w:r>
        <w:t xml:space="preserve"> </w:t>
      </w:r>
      <w:r w:rsidR="006D3FF2" w:rsidRPr="00C6429F">
        <w:t>Az illetékes hatóság</w:t>
      </w:r>
      <w:r>
        <w:t>ok</w:t>
      </w:r>
      <w:r w:rsidR="006D3FF2" w:rsidRPr="00C6429F">
        <w:t xml:space="preserve"> a megállapított jogsértéseket leggyakrabban</w:t>
      </w:r>
      <w:r w:rsidR="00380214" w:rsidRPr="00C6429F">
        <w:t xml:space="preserve"> – a</w:t>
      </w:r>
      <w:r w:rsidR="00C6429F">
        <w:t>z MNB</w:t>
      </w:r>
      <w:r w:rsidR="00380214" w:rsidRPr="0035661D">
        <w:t>-hez</w:t>
      </w:r>
      <w:r w:rsidR="00380214" w:rsidRPr="00C6429F">
        <w:t xml:space="preserve"> haso</w:t>
      </w:r>
      <w:r w:rsidR="00380214" w:rsidRPr="00A07F4E">
        <w:t xml:space="preserve">nlóan – </w:t>
      </w:r>
      <w:r w:rsidR="006D3FF2" w:rsidRPr="00A07F4E">
        <w:t xml:space="preserve">megfelelési utasításokkal, konkrét intézkedések végrehajtására vonatkozó utasításokkal vagy helyreállítási terv bevezetésére vonatkozó utasításokkal követték nyomon. </w:t>
      </w:r>
    </w:p>
    <w:p w14:paraId="5E6AE3C5" w14:textId="77777777" w:rsidR="007437A4" w:rsidRPr="00A07F4E" w:rsidRDefault="007437A4" w:rsidP="00A07F4E">
      <w:pPr>
        <w:pStyle w:val="Cmsor3"/>
        <w:numPr>
          <w:ilvl w:val="0"/>
          <w:numId w:val="114"/>
        </w:numPr>
      </w:pPr>
      <w:bookmarkStart w:id="131" w:name="_Toc109906042"/>
      <w:r w:rsidRPr="00A07F4E">
        <w:t>Maradványkockázat:</w:t>
      </w:r>
      <w:bookmarkEnd w:id="131"/>
    </w:p>
    <w:p w14:paraId="45B0D355" w14:textId="72DD531F" w:rsidR="007437A4" w:rsidRPr="00A07F4E" w:rsidRDefault="007437A4" w:rsidP="007437A4">
      <w:r w:rsidRPr="00153A1E">
        <w:t>A</w:t>
      </w:r>
      <w:r w:rsidR="005124DA" w:rsidRPr="00153A1E">
        <w:t>z MNB</w:t>
      </w:r>
      <w:r w:rsidRPr="005124DA">
        <w:t xml:space="preserve"> </w:t>
      </w:r>
      <w:r w:rsidR="005A109F" w:rsidRPr="005124DA">
        <w:t>vizsgálatai</w:t>
      </w:r>
      <w:r w:rsidR="005A109F" w:rsidRPr="00A07F4E">
        <w:t xml:space="preserve">, felügyeleti tapasztalatai nem indokolták az inherens kockázat vonatkozásában történő módosítást. </w:t>
      </w:r>
    </w:p>
    <w:tbl>
      <w:tblPr>
        <w:tblW w:w="4040" w:type="dxa"/>
        <w:jc w:val="center"/>
        <w:tblCellMar>
          <w:left w:w="70" w:type="dxa"/>
          <w:right w:w="70" w:type="dxa"/>
        </w:tblCellMar>
        <w:tblLook w:val="04A0" w:firstRow="1" w:lastRow="0" w:firstColumn="1" w:lastColumn="0" w:noHBand="0" w:noVBand="1"/>
      </w:tblPr>
      <w:tblGrid>
        <w:gridCol w:w="2140"/>
        <w:gridCol w:w="1900"/>
      </w:tblGrid>
      <w:tr w:rsidR="009C3844" w:rsidRPr="00A07F4E" w14:paraId="6AA1D351" w14:textId="77777777" w:rsidTr="009C3844">
        <w:trPr>
          <w:trHeight w:val="300"/>
          <w:jc w:val="center"/>
        </w:trPr>
        <w:tc>
          <w:tcPr>
            <w:tcW w:w="2140" w:type="dxa"/>
            <w:tcBorders>
              <w:top w:val="nil"/>
              <w:left w:val="nil"/>
              <w:bottom w:val="nil"/>
              <w:right w:val="nil"/>
            </w:tcBorders>
            <w:shd w:val="clear" w:color="auto" w:fill="auto"/>
            <w:noWrap/>
            <w:vAlign w:val="center"/>
            <w:hideMark/>
          </w:tcPr>
          <w:p w14:paraId="2BA84AC2" w14:textId="77777777" w:rsidR="009C3844" w:rsidRPr="00A07F4E" w:rsidRDefault="009C3844" w:rsidP="009C3844">
            <w:pPr>
              <w:spacing w:after="0" w:line="240" w:lineRule="auto"/>
              <w:jc w:val="center"/>
              <w:rPr>
                <w:rFonts w:eastAsia="Times New Roman" w:cs="Calibri"/>
                <w:b/>
                <w:bCs/>
                <w:color w:val="000000"/>
              </w:rPr>
            </w:pPr>
            <w:r w:rsidRPr="00A07F4E">
              <w:rPr>
                <w:rFonts w:eastAsia="Times New Roman" w:cs="Calibri"/>
                <w:b/>
                <w:bCs/>
                <w:color w:val="000000"/>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48B703" w14:textId="77777777" w:rsidR="009C3844" w:rsidRPr="00A07F4E" w:rsidRDefault="009C3844" w:rsidP="009C3844">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bl>
    <w:p w14:paraId="4F0644EC" w14:textId="77777777" w:rsidR="00B146CB" w:rsidRPr="00B146CB" w:rsidRDefault="00B146CB" w:rsidP="000222BD"/>
    <w:p w14:paraId="5D34B38C" w14:textId="6B0B2149" w:rsidR="00E94F24" w:rsidRPr="008C1A55" w:rsidRDefault="00E94F24" w:rsidP="00A120C2">
      <w:pPr>
        <w:pStyle w:val="Cmsor2"/>
      </w:pPr>
      <w:bookmarkStart w:id="132" w:name="_Toc109906043"/>
      <w:r w:rsidRPr="008C1A55">
        <w:t>Kollektív befektetési vállalkozások/alapkezelők</w:t>
      </w:r>
      <w:r w:rsidR="004A0FFC">
        <w:rPr>
          <w:rStyle w:val="Lbjegyzet-hivatkozs"/>
        </w:rPr>
        <w:footnoteReference w:id="17"/>
      </w:r>
      <w:bookmarkEnd w:id="132"/>
    </w:p>
    <w:p w14:paraId="49D8FBFE" w14:textId="77777777" w:rsidR="00E94F24" w:rsidRPr="00A07F4E" w:rsidRDefault="00E94F24" w:rsidP="00A07F4E">
      <w:pPr>
        <w:pStyle w:val="Cmsor3"/>
        <w:numPr>
          <w:ilvl w:val="0"/>
          <w:numId w:val="121"/>
        </w:numPr>
      </w:pPr>
      <w:bookmarkStart w:id="133" w:name="_Toc109906044"/>
      <w:r w:rsidRPr="00A07F4E">
        <w:t>A szektor méretére, tevékenységi körére és összetettségére vonatkozó információk összesített formában</w:t>
      </w:r>
      <w:bookmarkEnd w:id="133"/>
    </w:p>
    <w:p w14:paraId="6912A74C" w14:textId="3429AD3C" w:rsidR="00A12CEA" w:rsidRDefault="008B63D6" w:rsidP="008B63D6">
      <w:r>
        <w:t>A</w:t>
      </w:r>
      <w:r w:rsidR="00E94F24" w:rsidRPr="00A07F4E" w:rsidDel="008B63D6">
        <w:t xml:space="preserve"> </w:t>
      </w:r>
      <w:r w:rsidRPr="008B63D6">
        <w:t xml:space="preserve">befektetési </w:t>
      </w:r>
      <w:r w:rsidR="00253379">
        <w:t>alapkezelők</w:t>
      </w:r>
      <w:r w:rsidRPr="008B63D6">
        <w:t xml:space="preserve"> a kollektív befektetési forma számára befektetéskezelési tevékenységet, valamint a kollektív befektetési forma létrehozatalához, működtetéséhez kapcsolódó feladato</w:t>
      </w:r>
      <w:r w:rsidR="00253379">
        <w:t>kat látják</w:t>
      </w:r>
      <w:r>
        <w:t xml:space="preserve"> el</w:t>
      </w:r>
      <w:r w:rsidRPr="008B63D6">
        <w:t xml:space="preserve">. </w:t>
      </w:r>
      <w:r w:rsidR="004A0FFC">
        <w:t xml:space="preserve">Két befektetési alapkezelői formát különböztetünk meg: (i) </w:t>
      </w:r>
      <w:proofErr w:type="spellStart"/>
      <w:r w:rsidR="004A0FFC">
        <w:t>ÁÉKBV</w:t>
      </w:r>
      <w:proofErr w:type="spellEnd"/>
      <w:r w:rsidR="004A0FFC">
        <w:t>-alapkezelőket</w:t>
      </w:r>
      <w:r w:rsidR="004A0FFC">
        <w:rPr>
          <w:rStyle w:val="Lbjegyzet-hivatkozs"/>
        </w:rPr>
        <w:footnoteReference w:id="18"/>
      </w:r>
      <w:r w:rsidR="004A0FFC">
        <w:t xml:space="preserve">  és (ii) alternatív befektetési alapkezelőket</w:t>
      </w:r>
      <w:r w:rsidR="004A0FFC">
        <w:rPr>
          <w:rStyle w:val="Lbjegyzet-hivatkozs"/>
        </w:rPr>
        <w:footnoteReference w:id="19"/>
      </w:r>
      <w:r w:rsidR="004A0FFC">
        <w:t xml:space="preserve"> (</w:t>
      </w:r>
      <w:proofErr w:type="spellStart"/>
      <w:r w:rsidR="004A0FFC">
        <w:t>ABAK</w:t>
      </w:r>
      <w:proofErr w:type="spellEnd"/>
      <w:r w:rsidR="004A0FFC">
        <w:t>-alapkezelők). A befektetési alap kollektív befektetési forma, azaz minden olyan kollektív befektetés, amely több befektetőtől gyűjt tőkét abból a célból, hogy meghatározott befektetési politikának megfelelően befektesse a befektetők javára (</w:t>
      </w:r>
      <w:proofErr w:type="spellStart"/>
      <w:r w:rsidR="004A0FFC">
        <w:t>ÁÉKBV</w:t>
      </w:r>
      <w:proofErr w:type="spellEnd"/>
      <w:r w:rsidR="004A0FFC">
        <w:t>, ABA).</w:t>
      </w:r>
      <w:r w:rsidR="004A0FFC">
        <w:rPr>
          <w:rStyle w:val="Lbjegyzet-hivatkozs"/>
        </w:rPr>
        <w:footnoteReference w:id="20"/>
      </w:r>
      <w:r w:rsidR="004A0FFC">
        <w:t xml:space="preserve"> </w:t>
      </w:r>
      <w:r w:rsidR="004A0FFC" w:rsidRPr="00253379">
        <w:t xml:space="preserve">A jelen fejezet tárgya kizárólag a </w:t>
      </w:r>
      <w:proofErr w:type="spellStart"/>
      <w:r w:rsidR="004A0FFC" w:rsidRPr="00253379">
        <w:t>Pmt</w:t>
      </w:r>
      <w:proofErr w:type="spellEnd"/>
      <w:r w:rsidR="004A0FFC" w:rsidRPr="00253379">
        <w:t>. hatálya alá tartozó –</w:t>
      </w:r>
      <w:r w:rsidR="00D764CE">
        <w:t xml:space="preserve"> </w:t>
      </w:r>
      <w:r w:rsidR="004A0FFC" w:rsidRPr="00253379">
        <w:t xml:space="preserve">forgalmazási </w:t>
      </w:r>
      <w:r w:rsidR="004A0FFC" w:rsidRPr="00253379">
        <w:lastRenderedPageBreak/>
        <w:t xml:space="preserve">tevékenységet, vagy </w:t>
      </w:r>
      <w:r w:rsidR="00D764CE" w:rsidRPr="00D764CE">
        <w:t>a befektetési vállalkozásokról és az árutőzsdei szolgáltatókról, valamint az általuk végezhető tevékenységek szabályairól</w:t>
      </w:r>
      <w:r w:rsidR="00D764CE">
        <w:t xml:space="preserve"> szóló </w:t>
      </w:r>
      <w:r w:rsidR="00D764CE" w:rsidRPr="00D764CE">
        <w:t>2007. évi CXXXVIII. törvényben (</w:t>
      </w:r>
      <w:proofErr w:type="spellStart"/>
      <w:r w:rsidR="004A0FFC" w:rsidRPr="00A120C2">
        <w:rPr>
          <w:b/>
          <w:bCs/>
        </w:rPr>
        <w:t>Bszt</w:t>
      </w:r>
      <w:proofErr w:type="spellEnd"/>
      <w:r w:rsidR="004A0FFC" w:rsidRPr="00A120C2">
        <w:rPr>
          <w:b/>
          <w:bCs/>
        </w:rPr>
        <w:t>.</w:t>
      </w:r>
      <w:r w:rsidR="00D764CE" w:rsidRPr="00D764CE">
        <w:t>)</w:t>
      </w:r>
      <w:r w:rsidR="004A0FFC" w:rsidRPr="00253379">
        <w:t xml:space="preserve"> meghatározott tevékenységet végző – befektetési alapkezelő</w:t>
      </w:r>
      <w:r w:rsidR="00033193">
        <w:t xml:space="preserve">. </w:t>
      </w:r>
      <w:r>
        <w:t xml:space="preserve"> </w:t>
      </w:r>
      <w:r w:rsidR="00482082">
        <w:t>B</w:t>
      </w:r>
      <w:r>
        <w:t xml:space="preserve">efektetési alapkezelők </w:t>
      </w:r>
      <w:r w:rsidRPr="00FC37B3">
        <w:t xml:space="preserve">száma </w:t>
      </w:r>
      <w:r w:rsidR="00B94BC9" w:rsidRPr="00FC37B3">
        <w:t>100 és 110</w:t>
      </w:r>
      <w:r w:rsidR="00033193" w:rsidRPr="00FC37B3">
        <w:t xml:space="preserve"> közé tehető</w:t>
      </w:r>
      <w:r w:rsidR="0097536D" w:rsidRPr="00FC37B3">
        <w:t>,</w:t>
      </w:r>
      <w:r w:rsidRPr="00757F1D">
        <w:t xml:space="preserve"> valamint</w:t>
      </w:r>
      <w:r>
        <w:t xml:space="preserve"> számos intézmény van jelen határon átnyúló szolgáltatás keretében</w:t>
      </w:r>
      <w:r w:rsidR="00A12CEA">
        <w:t xml:space="preserve">.  </w:t>
      </w:r>
    </w:p>
    <w:p w14:paraId="7D657A4A" w14:textId="4472E76A" w:rsidR="00E94F24" w:rsidRPr="00A07F4E" w:rsidRDefault="00E94F24" w:rsidP="00A07F4E">
      <w:pPr>
        <w:pStyle w:val="Cmsor3"/>
        <w:numPr>
          <w:ilvl w:val="0"/>
          <w:numId w:val="121"/>
        </w:numPr>
      </w:pPr>
      <w:bookmarkStart w:id="134" w:name="_Toc109906045"/>
      <w:r w:rsidRPr="00A07F4E">
        <w:t>Inherens kockázatértékelés</w:t>
      </w:r>
      <w:bookmarkEnd w:id="134"/>
    </w:p>
    <w:p w14:paraId="3911657D" w14:textId="77777777" w:rsidR="000268B7" w:rsidRPr="00A07F4E" w:rsidRDefault="000268B7" w:rsidP="00A07F4E">
      <w:pPr>
        <w:pStyle w:val="Listaszerbekezds"/>
        <w:numPr>
          <w:ilvl w:val="0"/>
          <w:numId w:val="195"/>
        </w:numPr>
        <w:ind w:left="851" w:hanging="284"/>
      </w:pPr>
      <w:r w:rsidRPr="00A07F4E">
        <w:t>A kollektív befektetési vállalkozások/alapkezelők szektorában rejlő ML/</w:t>
      </w:r>
      <w:proofErr w:type="spellStart"/>
      <w:r w:rsidRPr="00A07F4E">
        <w:t>TF</w:t>
      </w:r>
      <w:proofErr w:type="spellEnd"/>
      <w:r w:rsidRPr="00A07F4E">
        <w:t xml:space="preserve"> kockázati tényezők</w:t>
      </w:r>
    </w:p>
    <w:p w14:paraId="4C66E709" w14:textId="334466DF" w:rsidR="00F51C68" w:rsidRDefault="00F51C68" w:rsidP="00F51C68">
      <w:r w:rsidRPr="003B3261">
        <w:t>A</w:t>
      </w:r>
      <w:r>
        <w:t xml:space="preserve"> </w:t>
      </w:r>
      <w:r w:rsidRPr="003B3261">
        <w:t>termé</w:t>
      </w:r>
      <w:r w:rsidRPr="00095247">
        <w:t xml:space="preserve">k/szolgáltatás, ügyfél, </w:t>
      </w:r>
      <w:r w:rsidRPr="003B3261">
        <w:t>földrajzi,</w:t>
      </w:r>
      <w:r w:rsidRPr="00095247">
        <w:t xml:space="preserve"> valamint értékesítési csatorn</w:t>
      </w:r>
      <w:r>
        <w:t>ához társítható</w:t>
      </w:r>
      <w:r w:rsidRPr="00095247">
        <w:t xml:space="preserve"> </w:t>
      </w:r>
      <w:r>
        <w:t>kockázatok MNB általi értékelését az alábbi táblázat szemlélteti</w:t>
      </w:r>
      <w:r w:rsidRPr="00095247">
        <w:t xml:space="preserve">: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F51C68" w:rsidRPr="003168BA" w14:paraId="0078E128" w14:textId="77777777" w:rsidTr="00300DCA">
        <w:tc>
          <w:tcPr>
            <w:tcW w:w="3061" w:type="dxa"/>
          </w:tcPr>
          <w:p w14:paraId="59F6A046" w14:textId="77777777" w:rsidR="00F51C68" w:rsidRPr="00095247" w:rsidRDefault="00F51C68" w:rsidP="00300DCA">
            <w:pPr>
              <w:spacing w:after="0" w:line="240" w:lineRule="auto"/>
              <w:contextualSpacing w:val="0"/>
              <w:jc w:val="center"/>
              <w:rPr>
                <w:rFonts w:eastAsia="Times New Roman" w:cs="Times New Roman"/>
                <w:b/>
                <w:bCs/>
                <w:color w:val="000000"/>
                <w:sz w:val="18"/>
                <w:szCs w:val="18"/>
              </w:rPr>
            </w:pPr>
            <w:r w:rsidRPr="00095247">
              <w:rPr>
                <w:rFonts w:eastAsia="Times New Roman" w:cs="Times New Roman"/>
                <w:b/>
                <w:bCs/>
                <w:color w:val="000000"/>
                <w:sz w:val="18"/>
                <w:szCs w:val="18"/>
              </w:rPr>
              <w:t>Kockázat megnevezése</w:t>
            </w:r>
          </w:p>
        </w:tc>
        <w:tc>
          <w:tcPr>
            <w:tcW w:w="3035" w:type="dxa"/>
          </w:tcPr>
          <w:p w14:paraId="656F78C4" w14:textId="77777777" w:rsidR="00F51C68" w:rsidRPr="00095247" w:rsidRDefault="00F51C68" w:rsidP="00300DCA">
            <w:pPr>
              <w:spacing w:after="0" w:line="240" w:lineRule="auto"/>
              <w:contextualSpacing w:val="0"/>
              <w:jc w:val="center"/>
              <w:rPr>
                <w:rFonts w:eastAsia="Times New Roman" w:cs="Times New Roman"/>
                <w:b/>
                <w:bCs/>
                <w:color w:val="000000"/>
                <w:sz w:val="18"/>
                <w:szCs w:val="18"/>
              </w:rPr>
            </w:pPr>
            <w:r w:rsidRPr="00095247">
              <w:rPr>
                <w:rFonts w:eastAsia="Times New Roman" w:cs="Times New Roman"/>
                <w:b/>
                <w:bCs/>
                <w:color w:val="000000"/>
                <w:sz w:val="18"/>
                <w:szCs w:val="18"/>
              </w:rPr>
              <w:t>Kockázati érték</w:t>
            </w:r>
          </w:p>
        </w:tc>
      </w:tr>
      <w:tr w:rsidR="00F51C68" w:rsidRPr="003168BA" w14:paraId="51024FE0" w14:textId="77777777" w:rsidTr="00A120C2">
        <w:tc>
          <w:tcPr>
            <w:tcW w:w="3061" w:type="dxa"/>
            <w:shd w:val="clear" w:color="auto" w:fill="auto"/>
          </w:tcPr>
          <w:p w14:paraId="386268DD" w14:textId="77777777" w:rsidR="00F51C68" w:rsidRPr="00095247" w:rsidRDefault="00F51C68"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Termék/szolgáltatás</w:t>
            </w:r>
          </w:p>
        </w:tc>
        <w:tc>
          <w:tcPr>
            <w:tcW w:w="3035" w:type="dxa"/>
            <w:shd w:val="clear" w:color="auto" w:fill="FFC000"/>
          </w:tcPr>
          <w:p w14:paraId="325DBC01" w14:textId="77777777" w:rsidR="00F51C68" w:rsidRPr="00095247" w:rsidRDefault="00F51C68"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 xml:space="preserve">Jelentős </w:t>
            </w:r>
          </w:p>
        </w:tc>
      </w:tr>
      <w:tr w:rsidR="00F51C68" w14:paraId="1738B28E" w14:textId="77777777" w:rsidTr="00A120C2">
        <w:tc>
          <w:tcPr>
            <w:tcW w:w="3061" w:type="dxa"/>
            <w:shd w:val="clear" w:color="auto" w:fill="auto"/>
          </w:tcPr>
          <w:p w14:paraId="60BF1239" w14:textId="77777777" w:rsidR="00F51C68" w:rsidRPr="00095247" w:rsidRDefault="00F51C68"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Ügyfél</w:t>
            </w:r>
          </w:p>
        </w:tc>
        <w:tc>
          <w:tcPr>
            <w:tcW w:w="3035" w:type="dxa"/>
            <w:shd w:val="clear" w:color="auto" w:fill="FFFF00"/>
          </w:tcPr>
          <w:p w14:paraId="1D2B0A59" w14:textId="7425A35E" w:rsidR="00F51C68" w:rsidRPr="00095247" w:rsidRDefault="00F51C68"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r w:rsidR="00F51C68" w14:paraId="08F380F8" w14:textId="77777777" w:rsidTr="00A120C2">
        <w:trPr>
          <w:trHeight w:val="50"/>
        </w:trPr>
        <w:tc>
          <w:tcPr>
            <w:tcW w:w="3061" w:type="dxa"/>
            <w:shd w:val="clear" w:color="auto" w:fill="auto"/>
          </w:tcPr>
          <w:p w14:paraId="7526AA3B" w14:textId="77777777" w:rsidR="00F51C68" w:rsidRPr="00095247" w:rsidRDefault="00F51C68"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Földrajzi</w:t>
            </w:r>
          </w:p>
        </w:tc>
        <w:tc>
          <w:tcPr>
            <w:tcW w:w="3035" w:type="dxa"/>
            <w:shd w:val="clear" w:color="auto" w:fill="92D050"/>
          </w:tcPr>
          <w:p w14:paraId="675D7F8F" w14:textId="77777777" w:rsidR="00F51C68" w:rsidRPr="00095247" w:rsidRDefault="00F51C68"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Kevésbé jelentős</w:t>
            </w:r>
          </w:p>
        </w:tc>
      </w:tr>
      <w:tr w:rsidR="00F51C68" w14:paraId="7B16DD90" w14:textId="77777777" w:rsidTr="00A120C2">
        <w:tc>
          <w:tcPr>
            <w:tcW w:w="3061" w:type="dxa"/>
            <w:shd w:val="clear" w:color="auto" w:fill="auto"/>
          </w:tcPr>
          <w:p w14:paraId="00A772C7" w14:textId="799BAE88" w:rsidR="00F51C68" w:rsidRPr="00095247" w:rsidRDefault="00F51C68"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Értékesítési csato</w:t>
            </w:r>
            <w:r w:rsidR="00D00776">
              <w:rPr>
                <w:rFonts w:eastAsia="Times New Roman" w:cs="Times New Roman"/>
                <w:color w:val="000000"/>
                <w:sz w:val="18"/>
                <w:szCs w:val="18"/>
              </w:rPr>
              <w:t>r</w:t>
            </w:r>
            <w:r w:rsidRPr="00095247">
              <w:rPr>
                <w:rFonts w:eastAsia="Times New Roman" w:cs="Times New Roman"/>
                <w:color w:val="000000"/>
                <w:sz w:val="18"/>
                <w:szCs w:val="18"/>
              </w:rPr>
              <w:t>na</w:t>
            </w:r>
          </w:p>
        </w:tc>
        <w:tc>
          <w:tcPr>
            <w:tcW w:w="3035" w:type="dxa"/>
            <w:shd w:val="clear" w:color="auto" w:fill="92D050"/>
          </w:tcPr>
          <w:p w14:paraId="32EAF71D" w14:textId="77777777" w:rsidR="00F51C68" w:rsidRPr="00095247" w:rsidRDefault="00F51C68" w:rsidP="00300DCA">
            <w:pPr>
              <w:spacing w:after="0" w:line="240" w:lineRule="auto"/>
              <w:contextualSpacing w:val="0"/>
              <w:jc w:val="center"/>
              <w:rPr>
                <w:rFonts w:eastAsia="Times New Roman" w:cs="Times New Roman"/>
                <w:color w:val="000000"/>
                <w:sz w:val="18"/>
                <w:szCs w:val="18"/>
              </w:rPr>
            </w:pPr>
            <w:r w:rsidRPr="00095247">
              <w:rPr>
                <w:rFonts w:eastAsia="Times New Roman" w:cs="Times New Roman"/>
                <w:color w:val="000000"/>
                <w:sz w:val="18"/>
                <w:szCs w:val="18"/>
              </w:rPr>
              <w:t>Kevésbé jelentős</w:t>
            </w:r>
          </w:p>
        </w:tc>
      </w:tr>
    </w:tbl>
    <w:p w14:paraId="1FD4E5FD" w14:textId="77777777" w:rsidR="00702B7D" w:rsidRDefault="00702B7D" w:rsidP="00FC37B3">
      <w:pPr>
        <w:spacing w:before="120"/>
      </w:pPr>
      <w:r w:rsidRPr="00702B7D">
        <w:t>A befektetési alapkezelőkhöz kapcsolódó ML/</w:t>
      </w:r>
      <w:proofErr w:type="spellStart"/>
      <w:r w:rsidRPr="00702B7D">
        <w:t>TF</w:t>
      </w:r>
      <w:proofErr w:type="spellEnd"/>
      <w:r w:rsidRPr="00702B7D">
        <w:t xml:space="preserve"> kockázat függ az alap befektetési jegyeinek forgalmazási folyamatában részt vevő felek típusától és számától, az alap működési formájától és fajtájától, és befolyásolhatja az is, hogy a befektetési jegyet forgalmazó alapkezelő </w:t>
      </w:r>
      <w:r>
        <w:t>mennyi ismerettel rendelkezik</w:t>
      </w:r>
      <w:r w:rsidRPr="00702B7D">
        <w:t xml:space="preserve"> az ügyfeléről és a befektetőiről</w:t>
      </w:r>
      <w:r>
        <w:t xml:space="preserve">. </w:t>
      </w:r>
    </w:p>
    <w:p w14:paraId="6B126820" w14:textId="13B27C45" w:rsidR="00342914" w:rsidRPr="00A07F4E" w:rsidRDefault="00702B7D" w:rsidP="00342914">
      <w:r w:rsidRPr="00702B7D">
        <w:t>A hazai szektor működési modellje alapján a befektetési alapkezelők többségében nem kerülnek az ügyfelekkel közvetlen ügyfélkapcsolatba (azáltal, hogy nem végeznek forgalmazási tevékenységet). Jelentős kockázatcsökkentő tényező</w:t>
      </w:r>
      <w:r>
        <w:t xml:space="preserve"> tehát</w:t>
      </w:r>
      <w:r w:rsidRPr="00702B7D">
        <w:t>, hogy a szektorban jelenlévő szolgáltatók csak más pénzügyi szolgáltatók közreműködésével tudnak jelentős összegű ügyleteket lebonyolítani.</w:t>
      </w:r>
      <w:r w:rsidR="00175C1F">
        <w:t xml:space="preserve"> </w:t>
      </w:r>
      <w:r w:rsidR="00175C1F" w:rsidRPr="00175C1F">
        <w:t xml:space="preserve">A készpénz ügyletek a szektorban nem jellemzőek. </w:t>
      </w:r>
      <w:r w:rsidR="00342914" w:rsidRPr="00342914">
        <w:t xml:space="preserve"> </w:t>
      </w:r>
      <w:r w:rsidR="00342914" w:rsidRPr="00702B7D">
        <w:t xml:space="preserve">Jelen szektorra is általánosságban elmondható, hogy a szektorhoz tartozó szolgáltatók fejlesztendő ügyfél-átvilágítási, </w:t>
      </w:r>
      <w:proofErr w:type="spellStart"/>
      <w:r w:rsidR="00342914" w:rsidRPr="00702B7D">
        <w:t>pénzmosás</w:t>
      </w:r>
      <w:proofErr w:type="spellEnd"/>
      <w:r w:rsidR="00342914" w:rsidRPr="00702B7D">
        <w:t xml:space="preserve"> elleni tranzakció </w:t>
      </w:r>
      <w:proofErr w:type="spellStart"/>
      <w:r w:rsidR="00342914" w:rsidRPr="00702B7D">
        <w:t>monitoringgal</w:t>
      </w:r>
      <w:proofErr w:type="spellEnd"/>
      <w:r w:rsidR="00342914" w:rsidRPr="00702B7D">
        <w:t xml:space="preserve"> és gyanús ügyletek bejelentésére vonatkozó politikákkal és eljárásokkal rendelkeznek.</w:t>
      </w:r>
      <w:r w:rsidR="00342914" w:rsidRPr="008E5771">
        <w:t xml:space="preserve"> </w:t>
      </w:r>
      <w:r w:rsidR="00342914">
        <w:t>A szolgáltatókra jellemző az</w:t>
      </w:r>
      <w:r w:rsidR="00342914" w:rsidRPr="00A07F4E">
        <w:t xml:space="preserve"> erőforrásalapú megközelítés, illetve a kockázatalapú megközelítés</w:t>
      </w:r>
      <w:r w:rsidR="00342914">
        <w:t xml:space="preserve"> </w:t>
      </w:r>
      <w:r w:rsidR="00342914" w:rsidRPr="00A07F4E">
        <w:t xml:space="preserve">hiánya. </w:t>
      </w:r>
    </w:p>
    <w:p w14:paraId="4E9B8604" w14:textId="0FB0AB55" w:rsidR="004B65D4" w:rsidRPr="00A07F4E" w:rsidRDefault="004B65D4" w:rsidP="004B65D4">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az ügyfél- és földrajzi kockázatokat a legtöbb hatóság a szektor kulcsfontosságú kockázatainak tekintette, </w:t>
      </w:r>
      <w:r w:rsidR="00C333D9" w:rsidRPr="00A07F4E">
        <w:t>különösen</w:t>
      </w:r>
      <w:r w:rsidRPr="00A07F4E">
        <w:t xml:space="preserve"> a nagy vagyonú magánszemélyek, az összetett struktúrájú ügyfelek és a magasabb kockázatú országokban található ügyfelek szektorban jellemző számossága miatt. Számos illetékes </w:t>
      </w:r>
      <w:r w:rsidR="007F5120">
        <w:t>külföldi</w:t>
      </w:r>
      <w:r w:rsidRPr="00A07F4E">
        <w:t xml:space="preserve"> hatóság rámutatott, hogy továbbra is nehézséget okoz az ügyfelek tényleges tulajdonosának megállapítása, valamint </w:t>
      </w:r>
      <w:r w:rsidR="00C333D9" w:rsidRPr="00A07F4E">
        <w:t>kiemelték</w:t>
      </w:r>
      <w:r w:rsidRPr="00A07F4E">
        <w:t xml:space="preserve"> </w:t>
      </w:r>
      <w:r w:rsidR="00C333D9" w:rsidRPr="00A07F4E">
        <w:t>az értékesítési</w:t>
      </w:r>
      <w:r w:rsidRPr="00A07F4E">
        <w:t xml:space="preserve"> csatornákhoz kapcsolódó kockázatok</w:t>
      </w:r>
      <w:r w:rsidR="00C333D9" w:rsidRPr="00A07F4E">
        <w:t>at</w:t>
      </w:r>
      <w:r w:rsidRPr="00A07F4E">
        <w:t xml:space="preserve">, mivel a befektetési alapok forgalmazását/marketingjét gyakran </w:t>
      </w:r>
      <w:r w:rsidR="009F6E2C" w:rsidRPr="00A07F4E">
        <w:t>kiszervezik</w:t>
      </w:r>
      <w:r w:rsidRPr="00A07F4E">
        <w:t>, és az alap forgalmazásában több közvetítő is részt vehet, ami bonyolultabbá</w:t>
      </w:r>
      <w:r w:rsidR="00FC1B73" w:rsidRPr="00A07F4E">
        <w:t xml:space="preserve">, </w:t>
      </w:r>
      <w:r w:rsidRPr="00A07F4E">
        <w:t>nagyobb kihívássá teszi az ML/</w:t>
      </w:r>
      <w:proofErr w:type="spellStart"/>
      <w:r w:rsidRPr="00A07F4E">
        <w:t>TF</w:t>
      </w:r>
      <w:proofErr w:type="spellEnd"/>
      <w:r w:rsidRPr="00A07F4E">
        <w:t xml:space="preserve"> kockázatok azonosítását és kezelését.</w:t>
      </w:r>
    </w:p>
    <w:p w14:paraId="3F711E4C" w14:textId="77777777" w:rsidR="000268B7" w:rsidRPr="00A07F4E" w:rsidRDefault="000268B7" w:rsidP="00A07F4E">
      <w:pPr>
        <w:pStyle w:val="Listaszerbekezds"/>
        <w:numPr>
          <w:ilvl w:val="0"/>
          <w:numId w:val="195"/>
        </w:numPr>
        <w:ind w:left="851" w:hanging="284"/>
      </w:pPr>
      <w:r w:rsidRPr="00A07F4E">
        <w:t>A kollektív befektetési vállalkozások/alapkezelők szektorában rejlő, határokon átnyúló ML/</w:t>
      </w:r>
      <w:proofErr w:type="spellStart"/>
      <w:r w:rsidRPr="00A07F4E">
        <w:t>TF</w:t>
      </w:r>
      <w:proofErr w:type="spellEnd"/>
      <w:r w:rsidRPr="00A07F4E">
        <w:t xml:space="preserve"> kockázatok </w:t>
      </w:r>
    </w:p>
    <w:p w14:paraId="5EE5145E" w14:textId="4B88F9C5" w:rsidR="00183E6F" w:rsidRPr="00A07F4E" w:rsidRDefault="00702B7D" w:rsidP="00D03B9B">
      <w:r w:rsidRPr="00702B7D">
        <w:t>A szektorra nem jellemző a külföldi érintettség, többségében magyar ügyfelekkel rendelkeznek a kollektív befektetési vállalkozások/alapkezelők. A tulajdonosi kört tekintve elmondható, hogy a piacvezető magyar tulajdonban van, azonban a nagy európai alapkezelők és pénzügyi csoportok több jelentős alapkezelő tulajdonosi hátterét biztosítják.</w:t>
      </w:r>
    </w:p>
    <w:p w14:paraId="3E308422" w14:textId="7B51508D" w:rsidR="00D15773" w:rsidRPr="00A07F4E" w:rsidRDefault="00D15773" w:rsidP="00D03B9B">
      <w:pPr>
        <w:rPr>
          <w:b/>
          <w:bCs/>
        </w:rPr>
      </w:pPr>
      <w:r w:rsidRPr="00A07F4E">
        <w:rPr>
          <w:b/>
          <w:bCs/>
        </w:rPr>
        <w:t>A</w:t>
      </w:r>
      <w:r w:rsidR="00702B7D">
        <w:rPr>
          <w:b/>
          <w:bCs/>
        </w:rPr>
        <w:t>z MNB</w:t>
      </w:r>
      <w:r w:rsidR="00622282">
        <w:rPr>
          <w:b/>
          <w:bCs/>
        </w:rPr>
        <w:t xml:space="preserve"> </w:t>
      </w:r>
      <w:r w:rsidRPr="00A07F4E">
        <w:rPr>
          <w:b/>
          <w:bCs/>
        </w:rPr>
        <w:t xml:space="preserve">értékelése alapján a </w:t>
      </w:r>
      <w:r w:rsidR="000268B7" w:rsidRPr="00A07F4E">
        <w:rPr>
          <w:b/>
          <w:bCs/>
        </w:rPr>
        <w:t xml:space="preserve">kollektív befektetési vállalkozások/alapkezelők szektora </w:t>
      </w:r>
      <w:r w:rsidRPr="00A07F4E">
        <w:rPr>
          <w:b/>
          <w:bCs/>
        </w:rPr>
        <w:t xml:space="preserve">Mérsékelten jelentős inherens kockázati értékkel rendelkezik, amely megegyezik az </w:t>
      </w:r>
      <w:proofErr w:type="spellStart"/>
      <w:r w:rsidRPr="00A07F4E">
        <w:rPr>
          <w:b/>
          <w:bCs/>
        </w:rPr>
        <w:t>EBA</w:t>
      </w:r>
      <w:proofErr w:type="spellEnd"/>
      <w:r w:rsidRPr="00A07F4E">
        <w:rPr>
          <w:b/>
          <w:bCs/>
        </w:rPr>
        <w:t xml:space="preserve"> </w:t>
      </w:r>
      <w:proofErr w:type="spellStart"/>
      <w:r w:rsidRPr="00A07F4E">
        <w:rPr>
          <w:b/>
          <w:bCs/>
        </w:rPr>
        <w:t>Opinion</w:t>
      </w:r>
      <w:proofErr w:type="spellEnd"/>
      <w:r w:rsidRPr="00A07F4E">
        <w:rPr>
          <w:b/>
          <w:bCs/>
        </w:rPr>
        <w:t xml:space="preserve"> összegzése szerinti, </w:t>
      </w:r>
      <w:r w:rsidR="00E60563">
        <w:rPr>
          <w:b/>
          <w:bCs/>
        </w:rPr>
        <w:t>legtöbb</w:t>
      </w:r>
      <w:r w:rsidR="00E60563" w:rsidRPr="00A07F4E">
        <w:rPr>
          <w:b/>
          <w:bCs/>
        </w:rPr>
        <w:t xml:space="preserve"> </w:t>
      </w:r>
      <w:r w:rsidRPr="00A07F4E">
        <w:rPr>
          <w:b/>
          <w:bCs/>
        </w:rPr>
        <w:t>illetékes hatóság értékelésével.</w:t>
      </w:r>
    </w:p>
    <w:tbl>
      <w:tblPr>
        <w:tblW w:w="4040" w:type="dxa"/>
        <w:jc w:val="center"/>
        <w:tblCellMar>
          <w:left w:w="70" w:type="dxa"/>
          <w:right w:w="70" w:type="dxa"/>
        </w:tblCellMar>
        <w:tblLook w:val="04A0" w:firstRow="1" w:lastRow="0" w:firstColumn="1" w:lastColumn="0" w:noHBand="0" w:noVBand="1"/>
      </w:tblPr>
      <w:tblGrid>
        <w:gridCol w:w="2140"/>
        <w:gridCol w:w="1900"/>
      </w:tblGrid>
      <w:tr w:rsidR="000268B7" w:rsidRPr="00A07F4E" w14:paraId="77D0D111" w14:textId="77777777" w:rsidTr="000268B7">
        <w:trPr>
          <w:trHeight w:val="300"/>
          <w:jc w:val="center"/>
        </w:trPr>
        <w:tc>
          <w:tcPr>
            <w:tcW w:w="2140" w:type="dxa"/>
            <w:tcBorders>
              <w:top w:val="nil"/>
              <w:left w:val="nil"/>
              <w:bottom w:val="nil"/>
              <w:right w:val="nil"/>
            </w:tcBorders>
            <w:shd w:val="clear" w:color="auto" w:fill="auto"/>
            <w:noWrap/>
            <w:vAlign w:val="center"/>
            <w:hideMark/>
          </w:tcPr>
          <w:p w14:paraId="6649F207" w14:textId="77777777" w:rsidR="000268B7" w:rsidRPr="00A07F4E" w:rsidRDefault="000268B7" w:rsidP="000268B7">
            <w:pPr>
              <w:spacing w:after="0" w:line="240" w:lineRule="auto"/>
              <w:jc w:val="center"/>
              <w:rPr>
                <w:rFonts w:eastAsia="Times New Roman" w:cs="Calibri"/>
                <w:b/>
                <w:bCs/>
                <w:color w:val="000000"/>
              </w:rPr>
            </w:pPr>
            <w:r w:rsidRPr="00A07F4E">
              <w:rPr>
                <w:rFonts w:eastAsia="Times New Roman" w:cs="Calibri"/>
                <w:b/>
                <w:bCs/>
                <w:color w:val="000000"/>
              </w:rPr>
              <w:t>Inherens kockázat:</w:t>
            </w:r>
            <w:r w:rsidRPr="00A07F4E">
              <w:rPr>
                <w:rFonts w:eastAsia="Times New Roman" w:cs="Calibri"/>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D6E30A" w14:textId="77777777" w:rsidR="000268B7" w:rsidRPr="00A07F4E" w:rsidRDefault="000268B7" w:rsidP="000268B7">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bl>
    <w:p w14:paraId="20F18299" w14:textId="28A936C5" w:rsidR="000268B7" w:rsidRDefault="000268B7" w:rsidP="00D03B9B"/>
    <w:p w14:paraId="7EA6F4B6" w14:textId="0392D6DB" w:rsidR="00C63813" w:rsidRDefault="00C63813" w:rsidP="00D03B9B"/>
    <w:p w14:paraId="33494595" w14:textId="2F8839AC" w:rsidR="00C63813" w:rsidRDefault="00C63813" w:rsidP="00D03B9B"/>
    <w:p w14:paraId="18194298" w14:textId="77777777" w:rsidR="00C63813" w:rsidRPr="00A07F4E" w:rsidRDefault="00C63813" w:rsidP="00D03B9B"/>
    <w:p w14:paraId="6C2BE027" w14:textId="77777777" w:rsidR="00D03B9B" w:rsidRPr="00A07F4E" w:rsidRDefault="00D03B9B" w:rsidP="00A07F4E">
      <w:pPr>
        <w:pStyle w:val="Cmsor3"/>
        <w:numPr>
          <w:ilvl w:val="0"/>
          <w:numId w:val="121"/>
        </w:numPr>
      </w:pPr>
      <w:bookmarkStart w:id="135" w:name="_Toc109906046"/>
      <w:r w:rsidRPr="00A07F4E">
        <w:lastRenderedPageBreak/>
        <w:t>Az ellenőrzések minősége</w:t>
      </w:r>
      <w:bookmarkEnd w:id="135"/>
    </w:p>
    <w:p w14:paraId="40650B0D" w14:textId="53B27112" w:rsidR="00A120C2" w:rsidRPr="00A07F4E" w:rsidRDefault="00D03B9B" w:rsidP="00D03B9B">
      <w:r w:rsidRPr="00A07F4E">
        <w:t>A</w:t>
      </w:r>
      <w:r w:rsidR="003A4147">
        <w:t>z MNB</w:t>
      </w:r>
      <w:r w:rsidRPr="00A07F4E">
        <w:t xml:space="preserve"> a </w:t>
      </w:r>
      <w:r w:rsidR="00D34EB7" w:rsidRPr="00A07F4E">
        <w:t xml:space="preserve">kollektív befektetési vállalkozások/alapkezelők </w:t>
      </w:r>
      <w:r w:rsidR="00A40A26" w:rsidRPr="00A07F4E">
        <w:t xml:space="preserve">ellenőrzéseinek </w:t>
      </w:r>
      <w:r w:rsidRPr="00A07F4E">
        <w:t>megfelelőségé</w:t>
      </w:r>
      <w:r w:rsidR="00A40A26" w:rsidRPr="00A07F4E">
        <w:t>t</w:t>
      </w:r>
      <w:r w:rsidRPr="00A07F4E">
        <w:t xml:space="preserve"> és minőségé</w:t>
      </w:r>
      <w:r w:rsidR="00A40A26" w:rsidRPr="00A07F4E">
        <w:t>t</w:t>
      </w:r>
      <w:r w:rsidRPr="00A07F4E">
        <w:t xml:space="preserve"> </w:t>
      </w:r>
      <w:r w:rsidR="00A40A26" w:rsidRPr="00A07F4E">
        <w:t xml:space="preserve">értékelte, amely alapján </w:t>
      </w:r>
      <w:r w:rsidR="008C1A55">
        <w:t>a szolgáltatók</w:t>
      </w:r>
      <w:r w:rsidRPr="00A07F4E">
        <w:t xml:space="preserve"> egészére kiterjedő, illetve az egyes üzleti kapcsolatokra alkalmazott kockázatértékelést minősítette gyengének, </w:t>
      </w:r>
      <w:r w:rsidR="00D34EB7" w:rsidRPr="00A07F4E">
        <w:t xml:space="preserve">míg </w:t>
      </w:r>
      <w:r w:rsidRPr="00A07F4E">
        <w:t>az ML/</w:t>
      </w:r>
      <w:proofErr w:type="spellStart"/>
      <w:r w:rsidRPr="00A07F4E">
        <w:t>TF</w:t>
      </w:r>
      <w:proofErr w:type="spellEnd"/>
      <w:r w:rsidRPr="00A07F4E">
        <w:t xml:space="preserve"> kockázatok ismeretét, beleértve a személyzet </w:t>
      </w:r>
      <w:proofErr w:type="spellStart"/>
      <w:r w:rsidRPr="00A07F4E">
        <w:t>AML</w:t>
      </w:r>
      <w:proofErr w:type="spellEnd"/>
      <w:r w:rsidRPr="00A07F4E">
        <w:t>/</w:t>
      </w:r>
      <w:proofErr w:type="spellStart"/>
      <w:r w:rsidRPr="00A07F4E">
        <w:t>CFT</w:t>
      </w:r>
      <w:proofErr w:type="spellEnd"/>
      <w:r w:rsidRPr="00A07F4E">
        <w:t xml:space="preserve"> képzésének elérhetőségét és hatékonyságát, az azonosítási és ellenőrzési politikák és eljárások hatékonyságát, valamint a folyamatos monitoring politikák és eljárások megfelelőségét, beleértve a tranzakciók monitoringját </w:t>
      </w:r>
      <w:r w:rsidR="00D34EB7" w:rsidRPr="00A07F4E">
        <w:t xml:space="preserve">pedig </w:t>
      </w:r>
      <w:r w:rsidRPr="00A07F4E">
        <w:t>nagyon jóna</w:t>
      </w:r>
      <w:r w:rsidR="00D34EB7" w:rsidRPr="00A07F4E">
        <w:t>k</w:t>
      </w:r>
      <w:r w:rsidRPr="00A07F4E">
        <w:t xml:space="preserve"> minősítette. A többi értékelési szempontot </w:t>
      </w:r>
      <w:r w:rsidR="00294DE2">
        <w:t xml:space="preserve">az MNB </w:t>
      </w:r>
      <w:r w:rsidRPr="00A07F4E">
        <w:t>jónak értékelte.</w:t>
      </w:r>
      <w:r w:rsidR="00D9509F" w:rsidRPr="00A07F4E">
        <w:rPr>
          <w:rStyle w:val="Lbjegyzet-hivatkozs"/>
        </w:rPr>
        <w:footnoteReference w:id="21"/>
      </w:r>
    </w:p>
    <w:p w14:paraId="5490E2BB" w14:textId="63D6F395" w:rsidR="00176C3D" w:rsidRPr="00A07F4E" w:rsidRDefault="00176C3D" w:rsidP="00D03B9B">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az illetékes </w:t>
      </w:r>
      <w:r w:rsidR="00294DE2">
        <w:t xml:space="preserve">külföldi </w:t>
      </w:r>
      <w:r w:rsidRPr="00A07F4E">
        <w:t xml:space="preserve">hatóságok többsége általában jónak minősítette az </w:t>
      </w:r>
      <w:r w:rsidR="003F59BB">
        <w:t>szektorban működő szolgáltatók által végzett</w:t>
      </w:r>
      <w:r w:rsidR="00A120C2">
        <w:t xml:space="preserve"> </w:t>
      </w:r>
      <w:r w:rsidRPr="00A07F4E">
        <w:t>ellenőrzések minőségét.</w:t>
      </w:r>
      <w:r w:rsidR="004E5DF9" w:rsidRPr="00A07F4E">
        <w:t xml:space="preserve"> Az illetékes </w:t>
      </w:r>
      <w:r w:rsidR="00294DE2">
        <w:t>külföldi</w:t>
      </w:r>
      <w:r w:rsidR="004E5DF9" w:rsidRPr="00A07F4E">
        <w:t xml:space="preserve"> hatóságok különösen a szektorban az </w:t>
      </w:r>
      <w:proofErr w:type="spellStart"/>
      <w:r w:rsidR="004E5DF9" w:rsidRPr="00A07F4E">
        <w:t>AML</w:t>
      </w:r>
      <w:proofErr w:type="spellEnd"/>
      <w:r w:rsidR="004E5DF9" w:rsidRPr="00A07F4E">
        <w:t>/</w:t>
      </w:r>
      <w:proofErr w:type="spellStart"/>
      <w:r w:rsidR="004E5DF9" w:rsidRPr="00A07F4E">
        <w:t>CFT</w:t>
      </w:r>
      <w:proofErr w:type="spellEnd"/>
      <w:r w:rsidR="00866E5E" w:rsidRPr="00A07F4E">
        <w:t xml:space="preserve"> </w:t>
      </w:r>
      <w:r w:rsidR="004E5DF9" w:rsidRPr="00A07F4E">
        <w:t xml:space="preserve">kötelezettségek teljesítése érdekében bevezetett politikák és eljárások megfelelőségét és hatékonyságát ítélték jónak. A </w:t>
      </w:r>
      <w:r w:rsidR="003F59BB">
        <w:t xml:space="preserve">külföldi </w:t>
      </w:r>
      <w:r w:rsidR="004E5DF9" w:rsidRPr="00A07F4E">
        <w:t>hats</w:t>
      </w:r>
      <w:r w:rsidR="003F59BB">
        <w:t>ósá</w:t>
      </w:r>
      <w:r w:rsidR="004E5DF9" w:rsidRPr="00A07F4E">
        <w:t>gok jelentős része továbbra is gyengének vagy nagyon gyengének</w:t>
      </w:r>
      <w:r w:rsidR="00BD5B76" w:rsidRPr="00A07F4E">
        <w:t xml:space="preserve"> </w:t>
      </w:r>
      <w:r w:rsidR="004E5DF9" w:rsidRPr="00A07F4E">
        <w:t xml:space="preserve">értékelte a következő kontrollokat: az egész </w:t>
      </w:r>
      <w:r w:rsidR="008C1A55">
        <w:t>szolgáltatóra</w:t>
      </w:r>
      <w:r w:rsidR="004E5DF9" w:rsidRPr="00A07F4E">
        <w:t xml:space="preserve"> kiterjedő kockázatértékelés minőség</w:t>
      </w:r>
      <w:r w:rsidR="00D34EB7" w:rsidRPr="00A07F4E">
        <w:t>ét</w:t>
      </w:r>
      <w:r w:rsidR="004E5DF9" w:rsidRPr="00A07F4E">
        <w:t xml:space="preserve">; a folyamatos </w:t>
      </w:r>
      <w:r w:rsidR="00BD5B76" w:rsidRPr="00A07F4E">
        <w:t>monitoring</w:t>
      </w:r>
      <w:r w:rsidR="004E5DF9" w:rsidRPr="00A07F4E">
        <w:t xml:space="preserve"> megfelelőség</w:t>
      </w:r>
      <w:r w:rsidR="00D34EB7" w:rsidRPr="00A07F4E">
        <w:t>ét</w:t>
      </w:r>
      <w:r w:rsidR="004E5DF9" w:rsidRPr="00A07F4E">
        <w:t xml:space="preserve"> és hatékonyság</w:t>
      </w:r>
      <w:r w:rsidR="00D34EB7" w:rsidRPr="00A07F4E">
        <w:t>át</w:t>
      </w:r>
      <w:r w:rsidR="004E5DF9" w:rsidRPr="00A07F4E">
        <w:t>; a</w:t>
      </w:r>
      <w:r w:rsidR="002C73BD">
        <w:t xml:space="preserve"> bejelentésekre</w:t>
      </w:r>
      <w:r w:rsidR="00BD5B76" w:rsidRPr="008A09BA">
        <w:t xml:space="preserve"> vonatkozó </w:t>
      </w:r>
      <w:r w:rsidR="004E5DF9" w:rsidRPr="008A09BA">
        <w:t>szabályok és eljárások megfelelőség</w:t>
      </w:r>
      <w:r w:rsidR="00D34EB7" w:rsidRPr="008A09BA">
        <w:t>ét</w:t>
      </w:r>
      <w:r w:rsidR="004E5DF9" w:rsidRPr="008A09BA">
        <w:t xml:space="preserve"> és a</w:t>
      </w:r>
      <w:r w:rsidR="00D9509F" w:rsidRPr="008A09BA">
        <w:t>z</w:t>
      </w:r>
      <w:r w:rsidR="004E5DF9" w:rsidRPr="008A09BA">
        <w:t xml:space="preserve"> </w:t>
      </w:r>
      <w:r w:rsidR="002C73BD">
        <w:t>be</w:t>
      </w:r>
      <w:r w:rsidR="004E5DF9" w:rsidRPr="008A09BA">
        <w:t>jelentések hatékonyság</w:t>
      </w:r>
      <w:r w:rsidR="00D34EB7" w:rsidRPr="008A09BA">
        <w:t>át</w:t>
      </w:r>
      <w:r w:rsidR="004E5DF9" w:rsidRPr="008A09BA">
        <w:t>; valamint a személyzet ML/</w:t>
      </w:r>
      <w:proofErr w:type="spellStart"/>
      <w:r w:rsidR="004E5DF9" w:rsidRPr="00A07F4E">
        <w:t>TF</w:t>
      </w:r>
      <w:proofErr w:type="spellEnd"/>
      <w:r w:rsidR="004E5DF9" w:rsidRPr="00A07F4E">
        <w:t xml:space="preserve"> kockázatokkal kapcsolatos tudatosság</w:t>
      </w:r>
      <w:r w:rsidR="00D34EB7" w:rsidRPr="00A07F4E">
        <w:t>át</w:t>
      </w:r>
      <w:r w:rsidR="004E5DF9" w:rsidRPr="00A07F4E">
        <w:t xml:space="preserve">, beleértve a személyzet </w:t>
      </w:r>
      <w:proofErr w:type="spellStart"/>
      <w:r w:rsidR="004E5DF9" w:rsidRPr="00A07F4E">
        <w:t>AML</w:t>
      </w:r>
      <w:proofErr w:type="spellEnd"/>
      <w:r w:rsidR="004E5DF9" w:rsidRPr="00A07F4E">
        <w:t>/</w:t>
      </w:r>
      <w:proofErr w:type="spellStart"/>
      <w:r w:rsidR="004E5DF9" w:rsidRPr="00A07F4E">
        <w:t>CFT</w:t>
      </w:r>
      <w:proofErr w:type="spellEnd"/>
      <w:r w:rsidR="00BD5B76" w:rsidRPr="00A07F4E">
        <w:t xml:space="preserve"> </w:t>
      </w:r>
      <w:r w:rsidR="004E5DF9" w:rsidRPr="00A07F4E">
        <w:t>képzésének elérhetőségét és hatékonyságát.</w:t>
      </w:r>
    </w:p>
    <w:p w14:paraId="57D4486C" w14:textId="21588CE8" w:rsidR="00C012F3" w:rsidRPr="00A07F4E" w:rsidRDefault="00C012F3" w:rsidP="00D03B9B">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kiemelte, hogy számos hatóság </w:t>
      </w:r>
      <w:r w:rsidR="00D34EB7" w:rsidRPr="00A07F4E">
        <w:t xml:space="preserve">– </w:t>
      </w:r>
      <w:r w:rsidR="00D34EB7" w:rsidRPr="00A120C2">
        <w:t>a</w:t>
      </w:r>
      <w:r w:rsidR="003F59BB" w:rsidRPr="00A120C2">
        <w:t>z MNB</w:t>
      </w:r>
      <w:r w:rsidR="00D34EB7" w:rsidRPr="00A120C2">
        <w:t>-hez</w:t>
      </w:r>
      <w:r w:rsidR="00D34EB7" w:rsidRPr="00A07F4E">
        <w:t xml:space="preserve"> hasonlón – </w:t>
      </w:r>
      <w:r w:rsidRPr="00A07F4E">
        <w:t>jelezte azt is, hogy véleményük szerint a szektorban a</w:t>
      </w:r>
      <w:r w:rsidR="003F59BB">
        <w:t xml:space="preserve">z ügyfél-átvilágítási intézkedések </w:t>
      </w:r>
      <w:r w:rsidRPr="00A07F4E">
        <w:t xml:space="preserve">tekintetében </w:t>
      </w:r>
      <w:r w:rsidR="008C1A55">
        <w:t>a szolgáltatók</w:t>
      </w:r>
      <w:r w:rsidRPr="00A07F4E">
        <w:t xml:space="preserve"> szabályalapú, nem pedig kockázatalapú megközelítést alkalmaznak, amely azt eredményezheti, hogy a szektorban működő </w:t>
      </w:r>
      <w:r w:rsidR="008C1A55">
        <w:t>szolgáltatók</w:t>
      </w:r>
      <w:r w:rsidR="008C1A55" w:rsidRPr="00A07F4E">
        <w:t xml:space="preserve"> </w:t>
      </w:r>
      <w:r w:rsidRPr="00A07F4E">
        <w:t xml:space="preserve">helytelenül osztják el az </w:t>
      </w:r>
      <w:proofErr w:type="spellStart"/>
      <w:r w:rsidRPr="00A07F4E">
        <w:t>AML</w:t>
      </w:r>
      <w:proofErr w:type="spellEnd"/>
      <w:r w:rsidRPr="00A07F4E">
        <w:t>/</w:t>
      </w:r>
      <w:proofErr w:type="spellStart"/>
      <w:r w:rsidRPr="00A07F4E">
        <w:t>CFT</w:t>
      </w:r>
      <w:proofErr w:type="spellEnd"/>
      <w:r w:rsidRPr="00A07F4E">
        <w:t xml:space="preserve"> erőforrásokat.</w:t>
      </w:r>
    </w:p>
    <w:p w14:paraId="05EB37D2" w14:textId="77777777" w:rsidR="00253270" w:rsidRPr="00A07F4E" w:rsidRDefault="00253270" w:rsidP="00A07F4E">
      <w:pPr>
        <w:pStyle w:val="Cmsor3"/>
        <w:numPr>
          <w:ilvl w:val="0"/>
          <w:numId w:val="121"/>
        </w:numPr>
      </w:pPr>
      <w:bookmarkStart w:id="136" w:name="_Toc109906047"/>
      <w:r w:rsidRPr="00A07F4E">
        <w:t>Felügyeleti tevékenység</w:t>
      </w:r>
      <w:bookmarkEnd w:id="136"/>
    </w:p>
    <w:p w14:paraId="463DB32C" w14:textId="059DA654" w:rsidR="00744D37" w:rsidRPr="00A07F4E" w:rsidRDefault="00253270" w:rsidP="00744D37">
      <w:r w:rsidRPr="00A07F4E">
        <w:t>A</w:t>
      </w:r>
      <w:r w:rsidR="003F59BB">
        <w:t>z MNB</w:t>
      </w:r>
      <w:r w:rsidR="004813F4">
        <w:t xml:space="preserve"> </w:t>
      </w:r>
      <w:r w:rsidRPr="00A07F4E">
        <w:t xml:space="preserve">a szektor Mérsékelten jelentős inherens kockázati besorolására tekintettel kisebb hangsúlyt fektetett jelen szektor </w:t>
      </w:r>
      <w:proofErr w:type="spellStart"/>
      <w:r w:rsidR="00E13078" w:rsidRPr="00A07F4E">
        <w:t>on</w:t>
      </w:r>
      <w:proofErr w:type="spellEnd"/>
      <w:r w:rsidR="00E13078" w:rsidRPr="00A07F4E">
        <w:t xml:space="preserve">-site jellegű </w:t>
      </w:r>
      <w:r w:rsidRPr="00A07F4E">
        <w:t xml:space="preserve">ellenőrzésére. </w:t>
      </w:r>
      <w:r w:rsidR="00744D37" w:rsidRPr="00A07F4E">
        <w:t xml:space="preserve">A szektor </w:t>
      </w:r>
      <w:proofErr w:type="spellStart"/>
      <w:r w:rsidR="00744D37" w:rsidRPr="00A07F4E">
        <w:t>off</w:t>
      </w:r>
      <w:proofErr w:type="spellEnd"/>
      <w:r w:rsidR="00744D37" w:rsidRPr="00A07F4E">
        <w:t>-site felügyelete az éves és negyedéves adatszolgáltatások felhasználásával elsődlegesen folyamatos felügyelés keretében történik.</w:t>
      </w:r>
    </w:p>
    <w:p w14:paraId="5FA755F3" w14:textId="268BC13A" w:rsidR="004B65D4" w:rsidRPr="00A07F4E" w:rsidRDefault="00253270" w:rsidP="00B0371B">
      <w:r w:rsidRPr="00A07F4E">
        <w:t xml:space="preserve"> Az </w:t>
      </w:r>
      <w:proofErr w:type="spellStart"/>
      <w:r w:rsidRPr="00A07F4E">
        <w:t>EBA</w:t>
      </w:r>
      <w:proofErr w:type="spellEnd"/>
      <w:r w:rsidRPr="00A07F4E">
        <w:t xml:space="preserve"> </w:t>
      </w:r>
      <w:proofErr w:type="spellStart"/>
      <w:r w:rsidRPr="00A07F4E">
        <w:t>Opinion</w:t>
      </w:r>
      <w:proofErr w:type="spellEnd"/>
      <w:r w:rsidRPr="00A07F4E">
        <w:t xml:space="preserve"> alapján</w:t>
      </w:r>
      <w:r w:rsidR="00AF4D1C" w:rsidRPr="00A07F4E">
        <w:t xml:space="preserve">, az illetékes </w:t>
      </w:r>
      <w:r w:rsidR="00744D37">
        <w:t xml:space="preserve">külföldi </w:t>
      </w:r>
      <w:r w:rsidR="00AF4D1C" w:rsidRPr="00A07F4E">
        <w:t>hatóságok által</w:t>
      </w:r>
      <w:r w:rsidRPr="00A07F4E">
        <w:t xml:space="preserve"> </w:t>
      </w:r>
      <w:r w:rsidR="00AF4D1C" w:rsidRPr="00A07F4E">
        <w:t>a többi szektorhoz képest viszonylag kevés felügyeleti tevékenység folyt</w:t>
      </w:r>
      <w:r w:rsidR="00866E5E" w:rsidRPr="00A07F4E">
        <w:t xml:space="preserve"> </w:t>
      </w:r>
      <w:r w:rsidR="00AF4D1C" w:rsidRPr="00A07F4E">
        <w:t xml:space="preserve">a szektorban. Az ellenőrzések többsége ütemezett </w:t>
      </w:r>
      <w:proofErr w:type="spellStart"/>
      <w:r w:rsidR="00AF4D1C" w:rsidRPr="00A07F4E">
        <w:t>on</w:t>
      </w:r>
      <w:proofErr w:type="spellEnd"/>
      <w:r w:rsidR="00AF4D1C" w:rsidRPr="00A07F4E">
        <w:t xml:space="preserve">-site ellenőrzés volt. </w:t>
      </w:r>
      <w:r w:rsidR="001C5BDD" w:rsidRPr="00A07F4E">
        <w:t>A</w:t>
      </w:r>
      <w:r w:rsidR="00744D37">
        <w:t xml:space="preserve">z </w:t>
      </w:r>
      <w:proofErr w:type="spellStart"/>
      <w:r w:rsidR="00744D37">
        <w:t>EBA</w:t>
      </w:r>
      <w:proofErr w:type="spellEnd"/>
      <w:r w:rsidR="00744D37">
        <w:t xml:space="preserve"> </w:t>
      </w:r>
      <w:proofErr w:type="spellStart"/>
      <w:r w:rsidR="00744D37">
        <w:t>Opinion</w:t>
      </w:r>
      <w:proofErr w:type="spellEnd"/>
      <w:r w:rsidR="00744D37">
        <w:t xml:space="preserve"> alapján a külföldi hatóságok által folytatott felügyeleti</w:t>
      </w:r>
      <w:r w:rsidR="001C5BDD" w:rsidRPr="00A07F4E">
        <w:t xml:space="preserve"> tevékenység leggyakoribb </w:t>
      </w:r>
      <w:proofErr w:type="spellStart"/>
      <w:r w:rsidR="00F93CA0" w:rsidRPr="00A07F4E">
        <w:t>off</w:t>
      </w:r>
      <w:proofErr w:type="spellEnd"/>
      <w:r w:rsidR="00F93CA0" w:rsidRPr="00A07F4E">
        <w:t>-site típusú vizsgálata a</w:t>
      </w:r>
      <w:r w:rsidR="001C5BDD" w:rsidRPr="00A07F4E">
        <w:t xml:space="preserve">z </w:t>
      </w:r>
      <w:proofErr w:type="spellStart"/>
      <w:r w:rsidR="001C5BDD" w:rsidRPr="00A07F4E">
        <w:t>AML</w:t>
      </w:r>
      <w:proofErr w:type="spellEnd"/>
      <w:r w:rsidR="001C5BDD" w:rsidRPr="00A07F4E">
        <w:t>/</w:t>
      </w:r>
      <w:proofErr w:type="spellStart"/>
      <w:r w:rsidR="001C5BDD" w:rsidRPr="00A07F4E">
        <w:t>CFT</w:t>
      </w:r>
      <w:proofErr w:type="spellEnd"/>
      <w:r w:rsidR="001C5BDD" w:rsidRPr="00A07F4E">
        <w:t xml:space="preserve"> jelentések útján valósult meg. </w:t>
      </w:r>
    </w:p>
    <w:p w14:paraId="31993B39" w14:textId="77777777" w:rsidR="00692C6A" w:rsidRPr="00A07F4E" w:rsidRDefault="00692C6A" w:rsidP="00A07F4E">
      <w:pPr>
        <w:pStyle w:val="Cmsor3"/>
        <w:numPr>
          <w:ilvl w:val="0"/>
          <w:numId w:val="121"/>
        </w:numPr>
      </w:pPr>
      <w:bookmarkStart w:id="137" w:name="_Toc109906048"/>
      <w:r w:rsidRPr="00A07F4E">
        <w:t>Azonosított jogsértések</w:t>
      </w:r>
      <w:bookmarkEnd w:id="137"/>
    </w:p>
    <w:p w14:paraId="5E81BB6B" w14:textId="0FA601A5" w:rsidR="00692C6A" w:rsidRPr="00A07F4E" w:rsidRDefault="00692C6A" w:rsidP="00692C6A">
      <w:r w:rsidRPr="00A120C2">
        <w:t>A</w:t>
      </w:r>
      <w:r w:rsidR="00744D37" w:rsidRPr="00A120C2">
        <w:t>z MNB</w:t>
      </w:r>
      <w:r w:rsidRPr="00A07F4E">
        <w:t xml:space="preserve"> </w:t>
      </w:r>
      <w:r w:rsidR="008C1A55">
        <w:t>a szolgáltatók</w:t>
      </w:r>
      <w:r w:rsidR="00EA4616" w:rsidRPr="00A07F4E">
        <w:t xml:space="preserve"> felügyelete során</w:t>
      </w:r>
      <w:r w:rsidRPr="00A07F4E">
        <w:t xml:space="preserve"> </w:t>
      </w:r>
      <w:r w:rsidR="008C1A55">
        <w:t>a szolgáltatóra</w:t>
      </w:r>
      <w:r w:rsidR="00EA4616" w:rsidRPr="00A07F4E">
        <w:t xml:space="preserve"> kiterjedő kockázatértékeléssel, a folyamatos </w:t>
      </w:r>
      <w:proofErr w:type="spellStart"/>
      <w:r w:rsidR="00EA4616" w:rsidRPr="00A07F4E">
        <w:t>monitoringgal</w:t>
      </w:r>
      <w:proofErr w:type="spellEnd"/>
      <w:r w:rsidR="00EA4616" w:rsidRPr="00A07F4E">
        <w:t xml:space="preserve"> és</w:t>
      </w:r>
      <w:r w:rsidRPr="00A07F4E">
        <w:t xml:space="preserve"> az oktatással</w:t>
      </w:r>
      <w:r w:rsidR="00EA4616" w:rsidRPr="00A07F4E">
        <w:t xml:space="preserve">, </w:t>
      </w:r>
      <w:r w:rsidRPr="00A07F4E">
        <w:t xml:space="preserve">tudatossággal kapcsolatban azonosított jogsértéseket. </w:t>
      </w:r>
      <w:r w:rsidRPr="00A120C2">
        <w:t>A</w:t>
      </w:r>
      <w:r w:rsidR="00744D37" w:rsidRPr="00A120C2">
        <w:t>z MNB</w:t>
      </w:r>
      <w:r w:rsidRPr="00A07F4E">
        <w:t xml:space="preserve"> által alkalmazott intézkedések a szektorhoz tartozó </w:t>
      </w:r>
      <w:r w:rsidR="008C1A55">
        <w:t>szolgáltatók</w:t>
      </w:r>
      <w:r w:rsidR="008C1A55" w:rsidRPr="00A07F4E">
        <w:t xml:space="preserve"> </w:t>
      </w:r>
      <w:r w:rsidRPr="00A07F4E">
        <w:t xml:space="preserve">esetében jellemzően a megfelelési, meghatározott intézkedések végrehajtására vonatkozó utasítások, valamint helyreállítási terv bevezetésére vonatkozó kötelezés voltak. </w:t>
      </w:r>
    </w:p>
    <w:p w14:paraId="31FFDD2D" w14:textId="77777777" w:rsidR="00692C6A" w:rsidRPr="00A07F4E" w:rsidRDefault="00692C6A" w:rsidP="00692C6A">
      <w:r w:rsidRPr="00A07F4E">
        <w:t xml:space="preserve">Az illetékes hatóságok – az </w:t>
      </w:r>
      <w:proofErr w:type="spellStart"/>
      <w:r w:rsidRPr="00A07F4E">
        <w:t>EBA</w:t>
      </w:r>
      <w:proofErr w:type="spellEnd"/>
      <w:r w:rsidRPr="00A07F4E">
        <w:t xml:space="preserve"> </w:t>
      </w:r>
      <w:proofErr w:type="spellStart"/>
      <w:r w:rsidRPr="00A07F4E">
        <w:t>Opinion</w:t>
      </w:r>
      <w:proofErr w:type="spellEnd"/>
      <w:r w:rsidRPr="00A07F4E">
        <w:t xml:space="preserve"> alapján – </w:t>
      </w:r>
      <w:r w:rsidR="00EA4616" w:rsidRPr="00A07F4E">
        <w:t>az azon</w:t>
      </w:r>
      <w:r w:rsidR="0047238B" w:rsidRPr="00A07F4E">
        <w:t>o</w:t>
      </w:r>
      <w:r w:rsidR="00EA4616" w:rsidRPr="00A07F4E">
        <w:t>sított</w:t>
      </w:r>
      <w:r w:rsidRPr="00A07F4E">
        <w:t xml:space="preserve"> leggyakoribb jogsértések</w:t>
      </w:r>
      <w:r w:rsidR="00EA4616" w:rsidRPr="00A07F4E">
        <w:t xml:space="preserve"> a belső ellenőrzésekkel és az általános </w:t>
      </w:r>
      <w:proofErr w:type="spellStart"/>
      <w:r w:rsidR="00EA4616" w:rsidRPr="00A07F4E">
        <w:t>AML</w:t>
      </w:r>
      <w:proofErr w:type="spellEnd"/>
      <w:r w:rsidR="00EA4616" w:rsidRPr="00A07F4E">
        <w:t>/</w:t>
      </w:r>
      <w:proofErr w:type="spellStart"/>
      <w:r w:rsidR="00EA4616" w:rsidRPr="00A07F4E">
        <w:t>CFT</w:t>
      </w:r>
      <w:proofErr w:type="spellEnd"/>
      <w:r w:rsidR="00EA4616" w:rsidRPr="00A07F4E">
        <w:t xml:space="preserve"> szabályokkal és eljárásokkal, a folyamatos </w:t>
      </w:r>
      <w:proofErr w:type="spellStart"/>
      <w:r w:rsidR="00EA4616" w:rsidRPr="00A07F4E">
        <w:t>monitoringgal</w:t>
      </w:r>
      <w:proofErr w:type="spellEnd"/>
      <w:r w:rsidR="00EA4616" w:rsidRPr="00A07F4E">
        <w:t xml:space="preserve">, valamint </w:t>
      </w:r>
      <w:r w:rsidRPr="00A07F4E">
        <w:t xml:space="preserve">az ügyfelek azonosításával és </w:t>
      </w:r>
      <w:r w:rsidR="0047238B" w:rsidRPr="00A07F4E">
        <w:t>személyazonosság</w:t>
      </w:r>
      <w:r w:rsidR="00375B98" w:rsidRPr="00A07F4E">
        <w:t>u</w:t>
      </w:r>
      <w:r w:rsidR="0047238B" w:rsidRPr="00A07F4E">
        <w:t xml:space="preserve">k ellenőrzésével </w:t>
      </w:r>
      <w:r w:rsidRPr="00A07F4E">
        <w:t>voltak</w:t>
      </w:r>
      <w:r w:rsidR="00EA4616" w:rsidRPr="00A07F4E">
        <w:t xml:space="preserve"> kapcsolatosak</w:t>
      </w:r>
      <w:r w:rsidRPr="00A07F4E">
        <w:t>.</w:t>
      </w:r>
    </w:p>
    <w:p w14:paraId="3FD4D101" w14:textId="18376B88" w:rsidR="00692C6A" w:rsidRDefault="00692C6A" w:rsidP="00692C6A">
      <w:r w:rsidRPr="00A07F4E">
        <w:t xml:space="preserve">Az illetékes hatóság a megállapított jogsértéseket leggyakrabban – </w:t>
      </w:r>
      <w:r w:rsidR="00744D37">
        <w:t>az MNB-hez</w:t>
      </w:r>
      <w:r w:rsidRPr="00A120C2">
        <w:t xml:space="preserve"> </w:t>
      </w:r>
      <w:r w:rsidRPr="00A07F4E">
        <w:t xml:space="preserve">hasonlóan – megfelelési utasításokkal, konkrét intézkedések végrehajtására vonatkozó utasításokkal vagy helyreállítási terv bevezetésére vonatkozó utasításokkal követték nyomon. </w:t>
      </w:r>
    </w:p>
    <w:p w14:paraId="21250A36" w14:textId="77777777" w:rsidR="00C63813" w:rsidRPr="00A07F4E" w:rsidRDefault="00C63813" w:rsidP="00692C6A"/>
    <w:p w14:paraId="6262DC0B" w14:textId="77777777" w:rsidR="00641FEA" w:rsidRPr="00A07F4E" w:rsidRDefault="00641FEA" w:rsidP="00A07F4E">
      <w:pPr>
        <w:pStyle w:val="Cmsor3"/>
        <w:numPr>
          <w:ilvl w:val="0"/>
          <w:numId w:val="121"/>
        </w:numPr>
      </w:pPr>
      <w:bookmarkStart w:id="138" w:name="_Toc109906049"/>
      <w:r w:rsidRPr="00A07F4E">
        <w:lastRenderedPageBreak/>
        <w:t>Maradványkockázat</w:t>
      </w:r>
      <w:bookmarkEnd w:id="138"/>
    </w:p>
    <w:p w14:paraId="05A0732F" w14:textId="5EFF84C7" w:rsidR="00641FEA" w:rsidRPr="00A07F4E" w:rsidRDefault="00641FEA" w:rsidP="00641FEA">
      <w:r w:rsidRPr="00A07F4E">
        <w:t xml:space="preserve">A </w:t>
      </w:r>
      <w:r w:rsidR="00744D37">
        <w:t>MNB</w:t>
      </w:r>
      <w:r w:rsidR="00744D37" w:rsidRPr="00A07F4E">
        <w:t xml:space="preserve"> </w:t>
      </w:r>
      <w:r w:rsidRPr="00A07F4E">
        <w:t xml:space="preserve">a maradványkockázatot Mérsékelten jelentősnek értékeli. Az inherens kockázati besorolás megegyezik a maradványkockázattal, amely arra a következtetésre vezet, hogy a meglévő ellenőrzések potenciálisan nem </w:t>
      </w:r>
      <w:r w:rsidR="00E13078" w:rsidRPr="00A07F4E">
        <w:t xml:space="preserve">indokoltak </w:t>
      </w:r>
      <w:r w:rsidR="00071467" w:rsidRPr="00A07F4E">
        <w:t>a szektorban fennálló</w:t>
      </w:r>
      <w:r w:rsidRPr="00A07F4E">
        <w:t xml:space="preserve"> kockázat</w:t>
      </w:r>
      <w:r w:rsidR="00071467" w:rsidRPr="00A07F4E">
        <w:t>ok</w:t>
      </w:r>
      <w:r w:rsidRPr="00A07F4E">
        <w:t xml:space="preserve"> mérséklés</w:t>
      </w:r>
      <w:r w:rsidR="00E13078" w:rsidRPr="00A07F4E">
        <w:t>ét</w:t>
      </w:r>
      <w:r w:rsidR="00A120C2">
        <w:t>.</w:t>
      </w:r>
    </w:p>
    <w:tbl>
      <w:tblPr>
        <w:tblW w:w="4040" w:type="dxa"/>
        <w:jc w:val="center"/>
        <w:tblCellMar>
          <w:left w:w="70" w:type="dxa"/>
          <w:right w:w="70" w:type="dxa"/>
        </w:tblCellMar>
        <w:tblLook w:val="04A0" w:firstRow="1" w:lastRow="0" w:firstColumn="1" w:lastColumn="0" w:noHBand="0" w:noVBand="1"/>
      </w:tblPr>
      <w:tblGrid>
        <w:gridCol w:w="2140"/>
        <w:gridCol w:w="1900"/>
      </w:tblGrid>
      <w:tr w:rsidR="00F6598F" w:rsidRPr="00A07F4E" w14:paraId="73273AB9" w14:textId="77777777" w:rsidTr="00F6598F">
        <w:trPr>
          <w:trHeight w:val="300"/>
          <w:jc w:val="center"/>
        </w:trPr>
        <w:tc>
          <w:tcPr>
            <w:tcW w:w="2140" w:type="dxa"/>
            <w:tcBorders>
              <w:top w:val="nil"/>
              <w:left w:val="nil"/>
              <w:bottom w:val="nil"/>
              <w:right w:val="nil"/>
            </w:tcBorders>
            <w:shd w:val="clear" w:color="auto" w:fill="auto"/>
            <w:noWrap/>
            <w:vAlign w:val="center"/>
            <w:hideMark/>
          </w:tcPr>
          <w:p w14:paraId="776F75BD" w14:textId="77777777" w:rsidR="00F6598F" w:rsidRPr="00A07F4E" w:rsidRDefault="00F6598F" w:rsidP="00F6598F">
            <w:pPr>
              <w:spacing w:after="0" w:line="240" w:lineRule="auto"/>
              <w:jc w:val="center"/>
              <w:rPr>
                <w:rFonts w:eastAsia="Times New Roman" w:cs="Calibri"/>
                <w:b/>
                <w:bCs/>
                <w:color w:val="000000"/>
              </w:rPr>
            </w:pPr>
            <w:r w:rsidRPr="00A07F4E">
              <w:rPr>
                <w:rFonts w:eastAsia="Times New Roman" w:cs="Calibri"/>
                <w:b/>
                <w:bCs/>
                <w:color w:val="000000"/>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04BF30" w14:textId="77777777" w:rsidR="00F6598F" w:rsidRPr="00A07F4E" w:rsidRDefault="00F6598F" w:rsidP="00F6598F">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bl>
    <w:p w14:paraId="28F0F8FF" w14:textId="3A2D1E9D" w:rsidR="00692C6A" w:rsidRPr="00A07F4E" w:rsidRDefault="00A6597D" w:rsidP="0021357A">
      <w:pPr>
        <w:pStyle w:val="Cmsor2"/>
      </w:pPr>
      <w:bookmarkStart w:id="139" w:name="_Toc109906050"/>
      <w:r>
        <w:t>Egyéb p</w:t>
      </w:r>
      <w:r w:rsidR="00D503F2" w:rsidRPr="00A07F4E">
        <w:t>énzügyi szolgáltatók</w:t>
      </w:r>
      <w:r w:rsidR="005A0DC6">
        <w:rPr>
          <w:rStyle w:val="Lbjegyzet-hivatkozs"/>
        </w:rPr>
        <w:footnoteReference w:id="22"/>
      </w:r>
      <w:bookmarkEnd w:id="139"/>
      <w:r w:rsidR="00D503F2" w:rsidRPr="00A07F4E">
        <w:t xml:space="preserve"> </w:t>
      </w:r>
    </w:p>
    <w:p w14:paraId="3F8D0F3A" w14:textId="77777777" w:rsidR="004C1D7E" w:rsidRPr="00A07F4E" w:rsidRDefault="004C1D7E" w:rsidP="00A07F4E">
      <w:pPr>
        <w:pStyle w:val="Cmsor3"/>
        <w:numPr>
          <w:ilvl w:val="0"/>
          <w:numId w:val="128"/>
        </w:numPr>
      </w:pPr>
      <w:bookmarkStart w:id="140" w:name="_Toc109906051"/>
      <w:r w:rsidRPr="00A07F4E">
        <w:t>A szektor méretére, tevékenységi körére és összetettségére vonatkozó információk összesített formában</w:t>
      </w:r>
      <w:bookmarkEnd w:id="140"/>
    </w:p>
    <w:p w14:paraId="218DED94" w14:textId="41B27386" w:rsidR="004C1D7E" w:rsidRDefault="004C1D7E" w:rsidP="00481FA9">
      <w:r w:rsidRPr="00A07F4E">
        <w:t xml:space="preserve">Magyarországon azon pénzügyi </w:t>
      </w:r>
      <w:r w:rsidR="00144800">
        <w:t>vállalkozások</w:t>
      </w:r>
      <w:r w:rsidRPr="00A07F4E">
        <w:t xml:space="preserve"> száma, akik nem hitelintézeti szektorba tartoznak</w:t>
      </w:r>
      <w:r w:rsidR="005761C6">
        <w:t xml:space="preserve"> </w:t>
      </w:r>
      <w:r w:rsidR="005761C6" w:rsidRPr="00FC37B3">
        <w:t>2</w:t>
      </w:r>
      <w:r w:rsidR="00BC516C">
        <w:t>4</w:t>
      </w:r>
      <w:r w:rsidR="005761C6" w:rsidRPr="00FC37B3">
        <w:t>0 és 2</w:t>
      </w:r>
      <w:r w:rsidR="00BC516C">
        <w:t>6</w:t>
      </w:r>
      <w:r w:rsidR="005761C6" w:rsidRPr="00FC37B3">
        <w:t>0 közöttire tehető</w:t>
      </w:r>
      <w:r w:rsidRPr="0040029B">
        <w:t>.</w:t>
      </w:r>
      <w:r w:rsidRPr="00A07F4E">
        <w:t xml:space="preserve"> A</w:t>
      </w:r>
      <w:r w:rsidR="008C1A55">
        <w:t xml:space="preserve"> szolgáltatók</w:t>
      </w:r>
      <w:r w:rsidRPr="00A07F4E">
        <w:t xml:space="preserve"> </w:t>
      </w:r>
      <w:r w:rsidR="0059668D" w:rsidRPr="00A07F4E">
        <w:t xml:space="preserve">jellemzően kölcsön- és hitelügyletekkel kapcsolatos </w:t>
      </w:r>
      <w:r w:rsidRPr="00A07F4E">
        <w:t xml:space="preserve">tevékenységet látnak el. </w:t>
      </w:r>
      <w:r w:rsidR="00B144C8" w:rsidRPr="00B144C8">
        <w:t xml:space="preserve">A </w:t>
      </w:r>
      <w:r w:rsidR="00587923">
        <w:t>s</w:t>
      </w:r>
      <w:r w:rsidR="00B144C8" w:rsidRPr="00B144C8">
        <w:t>zektor döntően vállalati ügyfeleket (egyéni vállalkozók, nem pénzügyi vállalatok és egyéb) finanszíroz, a 2021. június 30. napi adatok alapján a bruttó követelésállomány a 77%-át teszik ki a vállalati követelések.</w:t>
      </w:r>
    </w:p>
    <w:p w14:paraId="5CE00182" w14:textId="77777777" w:rsidR="004C1D7E" w:rsidRPr="00A07F4E" w:rsidRDefault="004C1D7E" w:rsidP="00A07F4E">
      <w:pPr>
        <w:pStyle w:val="Cmsor3"/>
        <w:numPr>
          <w:ilvl w:val="0"/>
          <w:numId w:val="128"/>
        </w:numPr>
      </w:pPr>
      <w:bookmarkStart w:id="141" w:name="_Toc109906052"/>
      <w:r w:rsidRPr="00A07F4E">
        <w:t>Inherens kockázatértékelés</w:t>
      </w:r>
      <w:bookmarkEnd w:id="141"/>
    </w:p>
    <w:p w14:paraId="18A6C1A7" w14:textId="77777777" w:rsidR="00481FA9" w:rsidRPr="00A07F4E" w:rsidRDefault="00481FA9" w:rsidP="00A07F4E">
      <w:pPr>
        <w:pStyle w:val="Listaszerbekezds"/>
        <w:numPr>
          <w:ilvl w:val="1"/>
          <w:numId w:val="17"/>
        </w:numPr>
        <w:ind w:left="851" w:hanging="284"/>
      </w:pPr>
      <w:r w:rsidRPr="00A07F4E">
        <w:t>A pénzügyi szolgáltatók szektorában rejlő ML/</w:t>
      </w:r>
      <w:proofErr w:type="spellStart"/>
      <w:r w:rsidRPr="00A07F4E">
        <w:t>TF</w:t>
      </w:r>
      <w:proofErr w:type="spellEnd"/>
      <w:r w:rsidRPr="00A07F4E">
        <w:t xml:space="preserve"> kockázati tényezők</w:t>
      </w:r>
    </w:p>
    <w:p w14:paraId="505FECF2" w14:textId="5345A93B" w:rsidR="004C1D7E" w:rsidRDefault="00604F08" w:rsidP="004C1D7E">
      <w:r w:rsidRPr="0021357A">
        <w:t xml:space="preserve">Az MNB </w:t>
      </w:r>
      <w:r w:rsidR="004C1D7E" w:rsidRPr="00A120C2">
        <w:t>a termékekben/szolgáltatásokban</w:t>
      </w:r>
      <w:r w:rsidR="00E97DF7" w:rsidRPr="00A120C2">
        <w:t xml:space="preserve">, </w:t>
      </w:r>
      <w:r w:rsidR="004C1D7E" w:rsidRPr="00A120C2">
        <w:t>az ügyfelek</w:t>
      </w:r>
      <w:r w:rsidR="00E97DF7" w:rsidRPr="00A120C2">
        <w:t>be</w:t>
      </w:r>
      <w:r w:rsidR="005B3865" w:rsidRPr="00A120C2">
        <w:t>n</w:t>
      </w:r>
      <w:r w:rsidR="00E97DF7" w:rsidRPr="00A120C2">
        <w:t xml:space="preserve">, </w:t>
      </w:r>
      <w:r w:rsidR="004C1D7E" w:rsidRPr="00A120C2">
        <w:t xml:space="preserve">a földrajzi </w:t>
      </w:r>
      <w:r w:rsidR="00F63AB6" w:rsidRPr="00A120C2">
        <w:t>kitettségben</w:t>
      </w:r>
      <w:r w:rsidR="00E97DF7" w:rsidRPr="00A120C2">
        <w:t xml:space="preserve"> </w:t>
      </w:r>
      <w:r w:rsidR="004C1D7E" w:rsidRPr="00A120C2">
        <w:t>és az értékesítési csatornák</w:t>
      </w:r>
      <w:r w:rsidR="00E97DF7" w:rsidRPr="00A120C2">
        <w:t xml:space="preserve">ban rejlő kockázatokat </w:t>
      </w:r>
      <w:r w:rsidR="009F6E2C" w:rsidRPr="00A120C2">
        <w:t xml:space="preserve">egyaránt </w:t>
      </w:r>
      <w:r w:rsidR="00E97DF7" w:rsidRPr="00A120C2">
        <w:t>Mérsékelten</w:t>
      </w:r>
      <w:r w:rsidR="004C1D7E" w:rsidRPr="00A120C2">
        <w:t xml:space="preserve"> jelentősnek értékelte.</w:t>
      </w:r>
      <w:r w:rsidR="004C1D7E" w:rsidRPr="00A07F4E">
        <w:t xml:space="preserve">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D41517" w:rsidRPr="003168BA" w14:paraId="1F2722E2" w14:textId="77777777" w:rsidTr="0021357A">
        <w:trPr>
          <w:trHeight w:val="314"/>
        </w:trPr>
        <w:tc>
          <w:tcPr>
            <w:tcW w:w="3061" w:type="dxa"/>
          </w:tcPr>
          <w:p w14:paraId="4E6B72AA" w14:textId="77777777" w:rsidR="00D41517" w:rsidRPr="00554E41" w:rsidRDefault="00D41517"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0B1AD341" w14:textId="77777777" w:rsidR="00D41517" w:rsidRPr="00554E41" w:rsidRDefault="00D41517"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D41517" w:rsidRPr="003168BA" w14:paraId="46A4C93F" w14:textId="77777777" w:rsidTr="0021357A">
        <w:tc>
          <w:tcPr>
            <w:tcW w:w="3061" w:type="dxa"/>
            <w:shd w:val="clear" w:color="auto" w:fill="auto"/>
          </w:tcPr>
          <w:p w14:paraId="3B71E968" w14:textId="77777777" w:rsidR="00D41517" w:rsidRPr="00554E41" w:rsidRDefault="00D4151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FFFF00"/>
          </w:tcPr>
          <w:p w14:paraId="1C140231" w14:textId="7D3DD609" w:rsidR="00D41517" w:rsidRPr="00554E41" w:rsidRDefault="00064A50"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w:t>
            </w:r>
            <w:r w:rsidR="008E6CE9">
              <w:rPr>
                <w:rFonts w:eastAsia="Times New Roman" w:cs="Times New Roman"/>
                <w:color w:val="000000"/>
                <w:sz w:val="18"/>
                <w:szCs w:val="18"/>
              </w:rPr>
              <w:t xml:space="preserve"> jelentős</w:t>
            </w:r>
          </w:p>
        </w:tc>
      </w:tr>
      <w:tr w:rsidR="00D41517" w14:paraId="0DD628BD" w14:textId="77777777" w:rsidTr="0021357A">
        <w:tc>
          <w:tcPr>
            <w:tcW w:w="3061" w:type="dxa"/>
            <w:shd w:val="clear" w:color="auto" w:fill="auto"/>
          </w:tcPr>
          <w:p w14:paraId="3AC95F9C" w14:textId="77777777" w:rsidR="00D41517" w:rsidRPr="00554E41" w:rsidRDefault="00D4151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FFFF00"/>
          </w:tcPr>
          <w:p w14:paraId="5A65C8D3" w14:textId="47B3A3DA" w:rsidR="00D41517" w:rsidRPr="00554E41" w:rsidRDefault="00064A50"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 xml:space="preserve">Mérsékelten </w:t>
            </w:r>
            <w:r w:rsidR="008E6CE9">
              <w:rPr>
                <w:rFonts w:eastAsia="Times New Roman" w:cs="Times New Roman"/>
                <w:color w:val="000000"/>
                <w:sz w:val="18"/>
                <w:szCs w:val="18"/>
              </w:rPr>
              <w:t>jelentős</w:t>
            </w:r>
          </w:p>
        </w:tc>
      </w:tr>
      <w:tr w:rsidR="00D41517" w14:paraId="7F62C470" w14:textId="77777777" w:rsidTr="0021357A">
        <w:trPr>
          <w:trHeight w:val="50"/>
        </w:trPr>
        <w:tc>
          <w:tcPr>
            <w:tcW w:w="3061" w:type="dxa"/>
            <w:shd w:val="clear" w:color="auto" w:fill="auto"/>
          </w:tcPr>
          <w:p w14:paraId="6BE58538" w14:textId="77777777" w:rsidR="00D41517" w:rsidRPr="00554E41" w:rsidRDefault="00D4151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Földrajzi</w:t>
            </w:r>
          </w:p>
        </w:tc>
        <w:tc>
          <w:tcPr>
            <w:tcW w:w="3035" w:type="dxa"/>
            <w:shd w:val="clear" w:color="auto" w:fill="FFFF00"/>
          </w:tcPr>
          <w:p w14:paraId="5F3495C6" w14:textId="468A3973" w:rsidR="00D41517" w:rsidRPr="00554E41" w:rsidRDefault="00064A50"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w:t>
            </w:r>
            <w:r w:rsidR="008E6CE9">
              <w:rPr>
                <w:rFonts w:eastAsia="Times New Roman" w:cs="Times New Roman"/>
                <w:color w:val="000000"/>
                <w:sz w:val="18"/>
                <w:szCs w:val="18"/>
              </w:rPr>
              <w:t xml:space="preserve"> jelentős</w:t>
            </w:r>
          </w:p>
        </w:tc>
      </w:tr>
      <w:tr w:rsidR="00D41517" w14:paraId="2FD5357C" w14:textId="77777777" w:rsidTr="0021357A">
        <w:tc>
          <w:tcPr>
            <w:tcW w:w="3061" w:type="dxa"/>
            <w:shd w:val="clear" w:color="auto" w:fill="auto"/>
          </w:tcPr>
          <w:p w14:paraId="0B16F207" w14:textId="5C4385FE" w:rsidR="00D41517" w:rsidRPr="00554E41" w:rsidRDefault="00D4151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sidR="00D00776">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FFFF00"/>
          </w:tcPr>
          <w:p w14:paraId="0A4FBB68" w14:textId="43D80053" w:rsidR="00D41517" w:rsidRPr="00554E41" w:rsidRDefault="00064A50"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w:t>
            </w:r>
            <w:r w:rsidR="008E6CE9">
              <w:rPr>
                <w:rFonts w:eastAsia="Times New Roman" w:cs="Times New Roman"/>
                <w:color w:val="000000"/>
                <w:sz w:val="18"/>
                <w:szCs w:val="18"/>
              </w:rPr>
              <w:t xml:space="preserve"> jelentős</w:t>
            </w:r>
          </w:p>
        </w:tc>
      </w:tr>
    </w:tbl>
    <w:p w14:paraId="24633D89" w14:textId="72802EC6" w:rsidR="00EB6F20" w:rsidRDefault="00EB6F20" w:rsidP="00FC37B3">
      <w:pPr>
        <w:spacing w:before="120"/>
      </w:pPr>
      <w:r w:rsidRPr="002230EB">
        <w:t>A Szektorban működő szolgáltatók a termékek és szolgáltatások széles skáláját kínálják, amelyeket meghatározott ügyféltípusok számára terveztek, és különböző értékesítési csatornákat használnak, amelyek különböző típusú és szintű ML/</w:t>
      </w:r>
      <w:proofErr w:type="spellStart"/>
      <w:r w:rsidRPr="002230EB">
        <w:t>TF</w:t>
      </w:r>
      <w:proofErr w:type="spellEnd"/>
      <w:r w:rsidRPr="002230EB">
        <w:t xml:space="preserve"> kockázatokat eredményezhetnek. A kockázat ebben a </w:t>
      </w:r>
      <w:r w:rsidR="00587923">
        <w:t>s</w:t>
      </w:r>
      <w:r w:rsidRPr="002230EB">
        <w:t xml:space="preserve">zektorban akkor is növekszik, ha a pénzügyi szolgáltatók a termékeik és szolgáltatásaik forgalmazásához hitelközvetítőket vesznek igénybe, amely által kevés közvetlen kapcsolatot tartanak fenn ügyfeleikkel, ezért nehézségekbe ütközhet a folyamatos monitoring, valamint a felügyelet hiánya jellemző ügyfél-átvilágítási intézkedések alkalmazása során. Másrészt a </w:t>
      </w:r>
      <w:proofErr w:type="spellStart"/>
      <w:r w:rsidRPr="002230EB">
        <w:t>faktoringgal</w:t>
      </w:r>
      <w:proofErr w:type="spellEnd"/>
      <w:r w:rsidRPr="002230EB">
        <w:t xml:space="preserve">, a lízinggel és a kereskedelmi hitelezéssel foglalkozó pénzügyi szolgáltatók eltérő üzleti modellekkel rendelkeznek, és más típusú ügyfeleket szolgálnak ki (kereskedelmi vállalatok, import/export), ezért jobban ki vannak téve a kereskedelem alapú pénzmosásnak. Azonban, a </w:t>
      </w:r>
      <w:r w:rsidR="00587923">
        <w:t>s</w:t>
      </w:r>
      <w:r w:rsidRPr="002230EB">
        <w:t xml:space="preserve">zektorra nem jellemző a külföldi érintettség, tipikusan magyar ügyfelekkel rendelkeznek a </w:t>
      </w:r>
      <w:r w:rsidR="00587923">
        <w:t>s</w:t>
      </w:r>
      <w:r w:rsidRPr="002230EB">
        <w:t>zektorhoz tartozó szolgáltatók.</w:t>
      </w:r>
      <w:r>
        <w:t xml:space="preserve"> </w:t>
      </w:r>
    </w:p>
    <w:p w14:paraId="6DCB0711" w14:textId="58AC3D3E" w:rsidR="001D5B72" w:rsidRDefault="001D5B72" w:rsidP="001D5B72">
      <w:r w:rsidRPr="001D5B72">
        <w:t xml:space="preserve">A </w:t>
      </w:r>
      <w:r w:rsidR="00587923">
        <w:t>s</w:t>
      </w:r>
      <w:r w:rsidRPr="001D5B72">
        <w:t>zektorhoz tartozó termékek kevesebb pénzmosási lehetőséget kínálnak, mint más pénzügyi termékek, de a bűnszervezetek ezeket használják nagy értékű áruk vásárlásának finanszírozására, majd készpénzben visszafizetik a kölcsönöket. Összegzésképpen, a fogyasztási hitelek és az alacsony összegű hitelek nem olyan vonzóak a bűnszervezetek számára, mint más pénzügyi termékek, de közvetve felhasználhatók a bűncselekményekből származó bevételek tisztára mosására. Ezek a tranzakciók általában alacsony összegűek, de egyes bűnözői csoportok képesek voltak nagy összegeket több tranzakcióra elosztani. Ezért az alacsony összegű hitelekhez kapcsolódó pénzmosási kockázat mérsékelten jelentősnek tekinthető.</w:t>
      </w:r>
      <w:r w:rsidR="00E62390" w:rsidRPr="00E62390">
        <w:rPr>
          <w:rFonts w:ascii="Garamond" w:hAnsi="Garamond" w:cs="Times New Roman"/>
          <w:sz w:val="24"/>
          <w:szCs w:val="24"/>
        </w:rPr>
        <w:t xml:space="preserve"> </w:t>
      </w:r>
      <w:r w:rsidR="00E62390" w:rsidRPr="00F661EB">
        <w:rPr>
          <w:rStyle w:val="Lbjegyzet-hivatkozs"/>
          <w:rFonts w:ascii="Garamond" w:hAnsi="Garamond" w:cs="Times New Roman"/>
          <w:bCs/>
          <w:sz w:val="24"/>
          <w:szCs w:val="24"/>
        </w:rPr>
        <w:footnoteReference w:id="23"/>
      </w:r>
    </w:p>
    <w:p w14:paraId="2039FB08" w14:textId="4D947C23" w:rsidR="001D5B72" w:rsidRPr="00A07F4E" w:rsidRDefault="001D5B72" w:rsidP="001D5B72">
      <w:r w:rsidRPr="001D5B72">
        <w:t xml:space="preserve">A </w:t>
      </w:r>
      <w:r w:rsidR="00587923">
        <w:t>s</w:t>
      </w:r>
      <w:r w:rsidRPr="001D5B72">
        <w:t xml:space="preserve">zektorhoz tartozó szolgáltatók jellemzően tisztában vannak az üzleti kölcsönökkel kapcsolatban felmerülő csalás kockázatával. Különös figyelmet fordítanak a hamis dokumentumok vagy a hamis személyazonosság kockázatára, </w:t>
      </w:r>
      <w:r w:rsidRPr="001D5B72">
        <w:lastRenderedPageBreak/>
        <w:t xml:space="preserve">tekintettel arra, hogy a szolgáltatóknak is érdekük fűződik ahhoz, hogy az ügyfelek részére nyújtott kölcsönök visszafizetésre kerüljenek. A sérülékenység a </w:t>
      </w:r>
      <w:r w:rsidR="00587923">
        <w:t>s</w:t>
      </w:r>
      <w:r w:rsidRPr="001D5B72">
        <w:t>zektorban alacsonyabb lenne, ha a készpénzes visszafizetés lehetőségét a szolgáltatók kizárnák.</w:t>
      </w:r>
      <w:r w:rsidR="002230EB">
        <w:t xml:space="preserve"> Megjegyzendő azonban, hogy </w:t>
      </w:r>
      <w:r w:rsidR="002230EB" w:rsidRPr="002230EB">
        <w:t xml:space="preserve">a meglévő informatikai rendszerek nem feltétlenül alkalmasak hamis dokumentumok észlelésére a </w:t>
      </w:r>
      <w:r w:rsidR="00587923">
        <w:t>s</w:t>
      </w:r>
      <w:r w:rsidR="002230EB" w:rsidRPr="002230EB">
        <w:t>zektorban.</w:t>
      </w:r>
    </w:p>
    <w:p w14:paraId="0B11F27C" w14:textId="2F356180" w:rsidR="00784455" w:rsidRPr="00A07F4E" w:rsidRDefault="00784455" w:rsidP="00784455">
      <w:r w:rsidRPr="00A07F4E">
        <w:t>Kockázatként került azonosításra</w:t>
      </w:r>
      <w:r w:rsidR="000711EB" w:rsidRPr="00A07F4E">
        <w:t xml:space="preserve"> </w:t>
      </w:r>
      <w:r w:rsidRPr="00A07F4E">
        <w:t>az erőforrásalapú megközelítés</w:t>
      </w:r>
      <w:r w:rsidR="00E62390">
        <w:t xml:space="preserve"> jelenléte</w:t>
      </w:r>
      <w:r w:rsidRPr="00A07F4E">
        <w:t xml:space="preserve">, </w:t>
      </w:r>
      <w:r w:rsidR="00E62390">
        <w:t xml:space="preserve">valamint </w:t>
      </w:r>
      <w:r w:rsidRPr="00A07F4E">
        <w:t>a</w:t>
      </w:r>
      <w:r w:rsidR="00E62390">
        <w:t xml:space="preserve"> Szektorhoz tartozó szolgáltatók</w:t>
      </w:r>
      <w:r w:rsidRPr="00A07F4E">
        <w:t xml:space="preserve"> </w:t>
      </w:r>
      <w:r w:rsidR="00E62390">
        <w:t xml:space="preserve">gyakorlatában a </w:t>
      </w:r>
      <w:r w:rsidRPr="00A07F4E">
        <w:t>kockázatalapú megközelítés</w:t>
      </w:r>
      <w:r w:rsidR="00E62390">
        <w:t xml:space="preserve"> alkalmazásának elmaradása</w:t>
      </w:r>
      <w:r w:rsidRPr="00A07F4E">
        <w:t xml:space="preserve">. </w:t>
      </w:r>
      <w:r w:rsidR="008C1A55">
        <w:t>A szolgáltatók</w:t>
      </w:r>
      <w:r w:rsidRPr="00A07F4E">
        <w:t xml:space="preserve"> szabályalapú megoldásokat</w:t>
      </w:r>
      <w:r w:rsidR="00E62390">
        <w:t xml:space="preserve">, előírásokat </w:t>
      </w:r>
      <w:r w:rsidRPr="00A07F4E">
        <w:t xml:space="preserve">várnak, a kockázatalapú megközelítést nem hajtják végre </w:t>
      </w:r>
      <w:proofErr w:type="spellStart"/>
      <w:r w:rsidR="00587923">
        <w:t>teljeskörűen</w:t>
      </w:r>
      <w:proofErr w:type="spellEnd"/>
      <w:r w:rsidRPr="00A07F4E">
        <w:t>. A</w:t>
      </w:r>
      <w:r w:rsidR="000711EB" w:rsidRPr="00A07F4E">
        <w:t>z erőforrás</w:t>
      </w:r>
      <w:r w:rsidRPr="00A07F4E">
        <w:t xml:space="preserve"> elosztása </w:t>
      </w:r>
      <w:r w:rsidR="00EB6F20">
        <w:t>sem megfelelő sok esetben</w:t>
      </w:r>
      <w:r w:rsidRPr="00A07F4E">
        <w:t xml:space="preserve">, </w:t>
      </w:r>
      <w:r w:rsidR="008C1A55">
        <w:t>a szolgáltató</w:t>
      </w:r>
      <w:r w:rsidR="00EB6F20">
        <w:t>k célja</w:t>
      </w:r>
      <w:r w:rsidRPr="00A07F4E">
        <w:t xml:space="preserve"> a költségek </w:t>
      </w:r>
      <w:r w:rsidR="00EB6F20">
        <w:t>csökkentése</w:t>
      </w:r>
      <w:r w:rsidRPr="00A07F4E">
        <w:t>, mintsem a kockázatalapú eljárások</w:t>
      </w:r>
      <w:r w:rsidR="00EB6F20">
        <w:t xml:space="preserve"> alkalmazása</w:t>
      </w:r>
      <w:r w:rsidRPr="00A07F4E">
        <w:t>, am</w:t>
      </w:r>
      <w:r w:rsidR="00587923">
        <w:t>ely szintén</w:t>
      </w:r>
      <w:r w:rsidRPr="00A07F4E">
        <w:t xml:space="preserve"> kockázati tényező. </w:t>
      </w:r>
    </w:p>
    <w:p w14:paraId="4A90281B" w14:textId="77777777" w:rsidR="00E15546" w:rsidRPr="00A07F4E" w:rsidRDefault="00E15546" w:rsidP="00E15546">
      <w:r w:rsidRPr="00A07F4E">
        <w:t xml:space="preserve">Jelen szektorra is általánosságban elmondható, hogy a szektorhoz tartozó </w:t>
      </w:r>
      <w:r w:rsidR="008C1A55">
        <w:t>szolgáltatók</w:t>
      </w:r>
      <w:r w:rsidR="008C1A55" w:rsidRPr="00A07F4E">
        <w:t xml:space="preserve"> </w:t>
      </w:r>
      <w:r w:rsidR="00E13078" w:rsidRPr="00A07F4E">
        <w:t>fejlesztendő</w:t>
      </w:r>
      <w:r w:rsidRPr="00A07F4E">
        <w:t xml:space="preserve"> </w:t>
      </w:r>
      <w:proofErr w:type="spellStart"/>
      <w:r w:rsidRPr="00A07F4E">
        <w:t>AML</w:t>
      </w:r>
      <w:proofErr w:type="spellEnd"/>
      <w:r w:rsidRPr="00A07F4E">
        <w:t xml:space="preserve"> tranzakció </w:t>
      </w:r>
      <w:proofErr w:type="spellStart"/>
      <w:r w:rsidRPr="00A07F4E">
        <w:t>monitoringgal</w:t>
      </w:r>
      <w:proofErr w:type="spellEnd"/>
      <w:r w:rsidRPr="00A07F4E">
        <w:t xml:space="preserve"> és gyanús ügyletek bejelentésére vonatkozó politikákkal és eljárásokkal rendelkeznek.  </w:t>
      </w:r>
      <w:r w:rsidR="008C1A55">
        <w:t>A szolgáltatók</w:t>
      </w:r>
      <w:r w:rsidR="00E13078" w:rsidRPr="00A07F4E">
        <w:t xml:space="preserve"> felügyeleti </w:t>
      </w:r>
      <w:r w:rsidRPr="00A07F4E">
        <w:t xml:space="preserve">adatszolgáltatások teljesítése során </w:t>
      </w:r>
      <w:r w:rsidR="00E13078" w:rsidRPr="00A07F4E">
        <w:t xml:space="preserve">hiányos vagy pontatlan </w:t>
      </w:r>
      <w:r w:rsidRPr="00A07F4E">
        <w:t xml:space="preserve">adatokat bocsátanak rendelkezésre. </w:t>
      </w:r>
    </w:p>
    <w:p w14:paraId="175F8255" w14:textId="770066A6" w:rsidR="00E15546" w:rsidRPr="00A07F4E" w:rsidRDefault="00E15546" w:rsidP="00784455">
      <w:r w:rsidRPr="00A07F4E">
        <w:t xml:space="preserve">Kockázatként került továbbá azonosításra, hogy </w:t>
      </w:r>
      <w:r w:rsidR="008C1A55">
        <w:t>a szolgáltatók</w:t>
      </w:r>
      <w:r w:rsidRPr="00A07F4E">
        <w:t xml:space="preserve"> nem alkalmaznak megfelelő átvilágítási eljárásokat vagy rendszereket az EU és az ENSZ BT célzott pénzügyi szankciós </w:t>
      </w:r>
      <w:r w:rsidR="00490C67" w:rsidRPr="009F3A30">
        <w:t>listái szerinti</w:t>
      </w:r>
      <w:r w:rsidR="00490C67" w:rsidRPr="00A07F4E">
        <w:t xml:space="preserve"> </w:t>
      </w:r>
      <w:r w:rsidRPr="00A07F4E">
        <w:t>átvilágításra.</w:t>
      </w:r>
    </w:p>
    <w:p w14:paraId="51C17200" w14:textId="77777777" w:rsidR="00481FA9" w:rsidRPr="0021357A" w:rsidRDefault="00481FA9" w:rsidP="00ED7B91">
      <w:pPr>
        <w:rPr>
          <w:b/>
          <w:bCs/>
          <w:highlight w:val="yellow"/>
        </w:rPr>
      </w:pPr>
      <w:r w:rsidRPr="00A07F4E">
        <w:rPr>
          <w:b/>
          <w:bCs/>
        </w:rPr>
        <w:t xml:space="preserve">A </w:t>
      </w:r>
      <w:r w:rsidRPr="009F298C">
        <w:rPr>
          <w:b/>
          <w:bCs/>
        </w:rPr>
        <w:t xml:space="preserve">pénzügyi szolgáltatói szektor Mérsékelten jelentős inherens kockázati értékkel rendelkezik, amely megegyezik az </w:t>
      </w:r>
      <w:proofErr w:type="spellStart"/>
      <w:r w:rsidRPr="009F298C">
        <w:rPr>
          <w:b/>
          <w:bCs/>
        </w:rPr>
        <w:t>EBA</w:t>
      </w:r>
      <w:proofErr w:type="spellEnd"/>
      <w:r w:rsidRPr="009F298C">
        <w:rPr>
          <w:b/>
          <w:bCs/>
        </w:rPr>
        <w:t xml:space="preserve"> </w:t>
      </w:r>
      <w:proofErr w:type="spellStart"/>
      <w:r w:rsidRPr="009F298C">
        <w:rPr>
          <w:b/>
          <w:bCs/>
        </w:rPr>
        <w:t>Opinion</w:t>
      </w:r>
      <w:proofErr w:type="spellEnd"/>
      <w:r w:rsidRPr="009F298C">
        <w:rPr>
          <w:b/>
          <w:bCs/>
        </w:rPr>
        <w:t xml:space="preserve"> összegzése szerint,</w:t>
      </w:r>
      <w:r w:rsidR="00943B8C" w:rsidRPr="009F298C">
        <w:rPr>
          <w:b/>
          <w:bCs/>
        </w:rPr>
        <w:t xml:space="preserve"> </w:t>
      </w:r>
      <w:r w:rsidR="00DA0E6E" w:rsidRPr="009F298C">
        <w:rPr>
          <w:b/>
          <w:bCs/>
        </w:rPr>
        <w:t>az</w:t>
      </w:r>
      <w:r w:rsidRPr="009F298C">
        <w:rPr>
          <w:b/>
          <w:bCs/>
        </w:rPr>
        <w:t xml:space="preserve"> illetékes hatóság</w:t>
      </w:r>
      <w:r w:rsidR="00A125B9" w:rsidRPr="009F298C">
        <w:rPr>
          <w:b/>
          <w:bCs/>
        </w:rPr>
        <w:t>ok</w:t>
      </w:r>
      <w:r w:rsidRPr="009F298C">
        <w:rPr>
          <w:b/>
          <w:bCs/>
        </w:rPr>
        <w:t xml:space="preserve"> </w:t>
      </w:r>
      <w:r w:rsidR="00DA0E6E" w:rsidRPr="009F298C">
        <w:rPr>
          <w:b/>
          <w:bCs/>
        </w:rPr>
        <w:t xml:space="preserve">többségének az </w:t>
      </w:r>
      <w:r w:rsidRPr="009F298C">
        <w:rPr>
          <w:b/>
          <w:bCs/>
        </w:rPr>
        <w:t>értékelésével.</w:t>
      </w:r>
    </w:p>
    <w:tbl>
      <w:tblPr>
        <w:tblW w:w="4040" w:type="dxa"/>
        <w:jc w:val="center"/>
        <w:tblCellMar>
          <w:left w:w="70" w:type="dxa"/>
          <w:right w:w="70" w:type="dxa"/>
        </w:tblCellMar>
        <w:tblLook w:val="04A0" w:firstRow="1" w:lastRow="0" w:firstColumn="1" w:lastColumn="0" w:noHBand="0" w:noVBand="1"/>
      </w:tblPr>
      <w:tblGrid>
        <w:gridCol w:w="2140"/>
        <w:gridCol w:w="1900"/>
      </w:tblGrid>
      <w:tr w:rsidR="006B56CB" w:rsidRPr="00A07F4E" w14:paraId="6ED8C816" w14:textId="77777777" w:rsidTr="00A07F4E">
        <w:trPr>
          <w:trHeight w:val="300"/>
          <w:jc w:val="center"/>
        </w:trPr>
        <w:tc>
          <w:tcPr>
            <w:tcW w:w="2140" w:type="dxa"/>
            <w:tcBorders>
              <w:top w:val="nil"/>
              <w:left w:val="nil"/>
              <w:bottom w:val="nil"/>
              <w:right w:val="nil"/>
            </w:tcBorders>
            <w:shd w:val="clear" w:color="auto" w:fill="auto"/>
            <w:noWrap/>
            <w:vAlign w:val="center"/>
            <w:hideMark/>
          </w:tcPr>
          <w:p w14:paraId="5782CF10" w14:textId="77777777" w:rsidR="006B56CB" w:rsidRPr="00935BD1" w:rsidRDefault="006B56CB" w:rsidP="006B56CB">
            <w:pPr>
              <w:spacing w:after="0" w:line="240" w:lineRule="auto"/>
              <w:jc w:val="center"/>
              <w:rPr>
                <w:rFonts w:eastAsia="Times New Roman" w:cs="Calibri"/>
                <w:b/>
                <w:bCs/>
                <w:color w:val="000000"/>
                <w:highlight w:val="yellow"/>
              </w:rPr>
            </w:pPr>
            <w:r w:rsidRPr="00C82D24">
              <w:rPr>
                <w:rFonts w:eastAsia="Times New Roman" w:cs="Calibri"/>
                <w:b/>
                <w:bCs/>
                <w:color w:val="000000"/>
              </w:rPr>
              <w:t>Inherens kockázat:</w:t>
            </w:r>
            <w:r w:rsidRPr="00C82D24">
              <w:rPr>
                <w:rFonts w:eastAsia="Times New Roman" w:cs="Calibri"/>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4E81DC" w14:textId="77777777" w:rsidR="006B56CB" w:rsidRPr="00A07F4E" w:rsidRDefault="006B56CB" w:rsidP="006B56CB">
            <w:pPr>
              <w:spacing w:after="0" w:line="240" w:lineRule="auto"/>
              <w:jc w:val="center"/>
              <w:rPr>
                <w:rFonts w:eastAsia="Times New Roman" w:cs="Calibri"/>
                <w:color w:val="000000"/>
                <w:sz w:val="18"/>
                <w:szCs w:val="18"/>
              </w:rPr>
            </w:pPr>
            <w:r w:rsidRPr="00935BD1">
              <w:rPr>
                <w:rFonts w:eastAsia="Times New Roman" w:cs="Calibri"/>
                <w:color w:val="000000"/>
                <w:sz w:val="18"/>
                <w:szCs w:val="18"/>
                <w:highlight w:val="yellow"/>
              </w:rPr>
              <w:t>Mérsékelten jelentős</w:t>
            </w:r>
          </w:p>
        </w:tc>
      </w:tr>
    </w:tbl>
    <w:p w14:paraId="64735619" w14:textId="6BF93208" w:rsidR="00A24D72" w:rsidRDefault="00A24D72" w:rsidP="00A24D72">
      <w:bookmarkStart w:id="142" w:name="_Toc106192437"/>
      <w:bookmarkStart w:id="143" w:name="_Toc106198033"/>
      <w:bookmarkStart w:id="144" w:name="_Toc106198679"/>
      <w:bookmarkStart w:id="145" w:name="_Toc106201874"/>
      <w:bookmarkStart w:id="146" w:name="_Toc106869583"/>
      <w:bookmarkStart w:id="147" w:name="_Toc107236448"/>
      <w:bookmarkStart w:id="148" w:name="_Toc107237356"/>
      <w:bookmarkStart w:id="149" w:name="_Toc107237682"/>
      <w:bookmarkStart w:id="150" w:name="_Toc106192438"/>
      <w:bookmarkStart w:id="151" w:name="_Toc106198034"/>
      <w:bookmarkStart w:id="152" w:name="_Toc106198680"/>
      <w:bookmarkStart w:id="153" w:name="_Toc106201875"/>
      <w:bookmarkStart w:id="154" w:name="_Toc106869584"/>
      <w:bookmarkStart w:id="155" w:name="_Toc107236449"/>
      <w:bookmarkStart w:id="156" w:name="_Toc107237357"/>
      <w:bookmarkStart w:id="157" w:name="_Toc107237683"/>
      <w:bookmarkStart w:id="158" w:name="_Toc106192439"/>
      <w:bookmarkStart w:id="159" w:name="_Toc106198035"/>
      <w:bookmarkStart w:id="160" w:name="_Toc106198681"/>
      <w:bookmarkStart w:id="161" w:name="_Toc106201876"/>
      <w:bookmarkStart w:id="162" w:name="_Toc106869585"/>
      <w:bookmarkStart w:id="163" w:name="_Toc107236450"/>
      <w:bookmarkStart w:id="164" w:name="_Toc107237358"/>
      <w:bookmarkStart w:id="165" w:name="_Toc10723768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C058CDA" w14:textId="3A0BBCFD" w:rsidR="00D158BF" w:rsidRPr="00A07F4E" w:rsidRDefault="00D158BF" w:rsidP="00A07F4E">
      <w:pPr>
        <w:pStyle w:val="Cmsor3"/>
        <w:numPr>
          <w:ilvl w:val="0"/>
          <w:numId w:val="128"/>
        </w:numPr>
      </w:pPr>
      <w:bookmarkStart w:id="166" w:name="_Toc109906053"/>
      <w:r w:rsidRPr="00A07F4E">
        <w:t>Az ellenőrzések minősége</w:t>
      </w:r>
      <w:bookmarkEnd w:id="166"/>
    </w:p>
    <w:p w14:paraId="3DAF3D7F" w14:textId="4AFD7DF4" w:rsidR="00D158BF" w:rsidRPr="00A07F4E" w:rsidRDefault="00D158BF" w:rsidP="00D158BF">
      <w:r w:rsidRPr="00935BD1">
        <w:t>A</w:t>
      </w:r>
      <w:r w:rsidR="009F0675" w:rsidRPr="009F0675">
        <w:t>z MNB</w:t>
      </w:r>
      <w:r w:rsidRPr="009F0675">
        <w:t xml:space="preserve"> a </w:t>
      </w:r>
      <w:r w:rsidR="00D220E3" w:rsidRPr="009F0675">
        <w:t>pénzügyi</w:t>
      </w:r>
      <w:r w:rsidR="00D220E3" w:rsidRPr="00A07F4E">
        <w:t xml:space="preserve"> szolgáltatók </w:t>
      </w:r>
      <w:r w:rsidR="0041629D" w:rsidRPr="00A07F4E">
        <w:t xml:space="preserve">általi </w:t>
      </w:r>
      <w:r w:rsidR="00F84D1B" w:rsidRPr="00A07F4E">
        <w:t xml:space="preserve">ellenőrzések megfelelőségét és minőségét értékelte, amely alapján </w:t>
      </w:r>
      <w:r w:rsidR="008C1A55">
        <w:t>a szolgáltatók</w:t>
      </w:r>
      <w:r w:rsidRPr="00A07F4E">
        <w:t xml:space="preserve"> egészére kiterjedő, az egyes üzleti kapcsolatokra alkalmazott kockázatértékelést</w:t>
      </w:r>
      <w:r w:rsidR="000418C9" w:rsidRPr="00A07F4E">
        <w:t>, illetve a folyamatos monitoring, ideértve a tranzakció monitoring hatékonyságát</w:t>
      </w:r>
      <w:r w:rsidRPr="00A07F4E">
        <w:t xml:space="preserve"> minősítette gyengének, </w:t>
      </w:r>
      <w:r w:rsidR="000418C9" w:rsidRPr="00A07F4E">
        <w:t>a</w:t>
      </w:r>
      <w:r w:rsidRPr="00A07F4E">
        <w:t xml:space="preserve"> többi értékelési szempontot jó</w:t>
      </w:r>
      <w:r w:rsidR="000418C9" w:rsidRPr="00A07F4E">
        <w:t xml:space="preserve"> minősítést kapott</w:t>
      </w:r>
      <w:r w:rsidRPr="00A07F4E">
        <w:t>.</w:t>
      </w:r>
      <w:r w:rsidR="00F17407" w:rsidRPr="00A07F4E">
        <w:rPr>
          <w:rStyle w:val="Lbjegyzet-hivatkozs"/>
        </w:rPr>
        <w:footnoteReference w:id="24"/>
      </w:r>
    </w:p>
    <w:p w14:paraId="06D7007D" w14:textId="7606AF12" w:rsidR="00D158BF" w:rsidRPr="00A07F4E" w:rsidRDefault="006C2B06" w:rsidP="00700EC3">
      <w:r w:rsidRPr="00A07F4E">
        <w:t xml:space="preserve">Az </w:t>
      </w:r>
      <w:proofErr w:type="spellStart"/>
      <w:r w:rsidRPr="00A07F4E">
        <w:t>EBA</w:t>
      </w:r>
      <w:proofErr w:type="spellEnd"/>
      <w:r w:rsidRPr="00A07F4E">
        <w:t xml:space="preserve"> </w:t>
      </w:r>
      <w:proofErr w:type="spellStart"/>
      <w:r w:rsidRPr="00A07F4E">
        <w:t>Opinionban</w:t>
      </w:r>
      <w:proofErr w:type="spellEnd"/>
      <w:r w:rsidRPr="00A07F4E">
        <w:t xml:space="preserve"> részletezésre került, hogy a</w:t>
      </w:r>
      <w:r w:rsidR="00D158BF" w:rsidRPr="00A07F4E">
        <w:t>z illetékes hatóságok jelentős része jelezte, hogy nem végeztek értékelést a</w:t>
      </w:r>
      <w:r w:rsidR="00317EC5" w:rsidRPr="00A07F4E">
        <w:t>z</w:t>
      </w:r>
      <w:r w:rsidRPr="00A07F4E">
        <w:t xml:space="preserve"> ágazati </w:t>
      </w:r>
      <w:r w:rsidR="00D158BF" w:rsidRPr="00A07F4E">
        <w:t>ellenőrzések minőségéről. Azok az illetékes hatóságok, amelyek elvégezték az értékelést, többségük jónak vagy nagyon jónak értékelte a szektor ellenőrzése</w:t>
      </w:r>
      <w:r w:rsidR="00F17407" w:rsidRPr="009F3A30">
        <w:t>ine</w:t>
      </w:r>
      <w:r w:rsidR="00D158BF" w:rsidRPr="00A07F4E">
        <w:t>k minőségét. Az ügyfelek ML/</w:t>
      </w:r>
      <w:proofErr w:type="spellStart"/>
      <w:r w:rsidR="00D158BF" w:rsidRPr="00A07F4E">
        <w:t>TF</w:t>
      </w:r>
      <w:proofErr w:type="spellEnd"/>
      <w:r w:rsidR="00D158BF" w:rsidRPr="00A07F4E">
        <w:t xml:space="preserve"> kockázatértékelésének minőségét</w:t>
      </w:r>
      <w:r w:rsidRPr="00A07F4E">
        <w:t xml:space="preserve"> – a</w:t>
      </w:r>
      <w:r w:rsidR="009F0675">
        <w:t>z MNB</w:t>
      </w:r>
      <w:r w:rsidRPr="00935BD1">
        <w:t>-hez hasonlóan</w:t>
      </w:r>
      <w:r w:rsidRPr="009F0675">
        <w:t xml:space="preserve"> –</w:t>
      </w:r>
      <w:r w:rsidR="00D158BF" w:rsidRPr="00A07F4E">
        <w:t xml:space="preserve"> azonban az illetékes hatóságok jelentős része </w:t>
      </w:r>
      <w:r w:rsidRPr="00A07F4E">
        <w:t>gyengének</w:t>
      </w:r>
      <w:r w:rsidR="00D158BF" w:rsidRPr="00A07F4E">
        <w:t xml:space="preserve"> ítélte, csakúgy, mint a </w:t>
      </w:r>
      <w:r w:rsidR="002C73BD">
        <w:t>be</w:t>
      </w:r>
      <w:r w:rsidR="00D158BF" w:rsidRPr="00A07F4E">
        <w:t>jelentés</w:t>
      </w:r>
      <w:r w:rsidRPr="00A07F4E">
        <w:t>ek</w:t>
      </w:r>
      <w:r w:rsidR="00D158BF" w:rsidRPr="00A07F4E">
        <w:t xml:space="preserve"> hatékonyságát. A </w:t>
      </w:r>
      <w:r w:rsidRPr="00A07F4E">
        <w:t>hatóságok</w:t>
      </w:r>
      <w:r w:rsidR="00D158BF" w:rsidRPr="00A07F4E">
        <w:t xml:space="preserve"> továbbá rámutattak az ügyfelek azonosításának és </w:t>
      </w:r>
      <w:r w:rsidRPr="00A07F4E">
        <w:t>személyazonosság</w:t>
      </w:r>
      <w:r w:rsidR="00D158BF" w:rsidRPr="00A07F4E">
        <w:t xml:space="preserve"> gyakran gyenge szintű ellenőrzésére.</w:t>
      </w:r>
      <w:r w:rsidRPr="00A07F4E">
        <w:t xml:space="preserve"> Ezen ellenőrzések gyenge minősége különösen aggasztó ebben a szektorban, tekintettel az ágazatot eredendően fenyegető kockázatokra.</w:t>
      </w:r>
    </w:p>
    <w:p w14:paraId="013A7C9A" w14:textId="77777777" w:rsidR="00C42182" w:rsidRPr="00A07F4E" w:rsidRDefault="00C42182" w:rsidP="00A07F4E">
      <w:pPr>
        <w:pStyle w:val="Cmsor3"/>
        <w:numPr>
          <w:ilvl w:val="0"/>
          <w:numId w:val="128"/>
        </w:numPr>
      </w:pPr>
      <w:bookmarkStart w:id="167" w:name="_Toc109906054"/>
      <w:r w:rsidRPr="00A07F4E">
        <w:t>Felügyeleti tevékenység</w:t>
      </w:r>
      <w:bookmarkEnd w:id="167"/>
    </w:p>
    <w:p w14:paraId="3BCAD478" w14:textId="4C89EB70" w:rsidR="00F8567E" w:rsidRDefault="003B448F" w:rsidP="00C42182">
      <w:r w:rsidRPr="00935BD1">
        <w:t>A</w:t>
      </w:r>
      <w:r w:rsidR="009F0675" w:rsidRPr="009F0675">
        <w:t xml:space="preserve">z MNB </w:t>
      </w:r>
      <w:r w:rsidRPr="009F0675">
        <w:t>a szektor</w:t>
      </w:r>
      <w:r w:rsidRPr="00A07F4E">
        <w:t xml:space="preserve"> Mérsékelten jelentős inherens kockázati besorolására tekintettel kisebb hangsúlyt fektetett jelen szektor </w:t>
      </w:r>
      <w:proofErr w:type="spellStart"/>
      <w:r w:rsidR="00E13078" w:rsidRPr="00A07F4E">
        <w:t>on</w:t>
      </w:r>
      <w:proofErr w:type="spellEnd"/>
      <w:r w:rsidR="00E13078" w:rsidRPr="00A07F4E">
        <w:t xml:space="preserve">-site </w:t>
      </w:r>
      <w:r w:rsidRPr="00A07F4E">
        <w:t>ellenőrzésére</w:t>
      </w:r>
      <w:r w:rsidR="006414F2" w:rsidRPr="00A07F4E">
        <w:t xml:space="preserve">, a felügyeletet </w:t>
      </w:r>
      <w:proofErr w:type="spellStart"/>
      <w:r w:rsidR="00E13078" w:rsidRPr="00A07F4E">
        <w:t>off</w:t>
      </w:r>
      <w:proofErr w:type="spellEnd"/>
      <w:r w:rsidR="00E13078" w:rsidRPr="00A07F4E">
        <w:t xml:space="preserve">-site módon </w:t>
      </w:r>
      <w:r w:rsidR="006414F2" w:rsidRPr="00A07F4E">
        <w:t>az éves és a negyedéves adatszolgáltatások</w:t>
      </w:r>
      <w:r w:rsidR="00453558">
        <w:t xml:space="preserve"> </w:t>
      </w:r>
      <w:r w:rsidR="00E13078" w:rsidRPr="00A07F4E">
        <w:t xml:space="preserve">felhasználásával </w:t>
      </w:r>
      <w:r w:rsidR="006414F2" w:rsidRPr="00A07F4E">
        <w:t>látja el</w:t>
      </w:r>
      <w:r w:rsidR="00E13078" w:rsidRPr="00A07F4E">
        <w:t xml:space="preserve"> folyamatos felügyelés keretében.</w:t>
      </w:r>
      <w:r w:rsidR="00460944" w:rsidRPr="00A07F4E">
        <w:t xml:space="preserve"> </w:t>
      </w:r>
      <w:r w:rsidR="009F0675">
        <w:t>Az MNB</w:t>
      </w:r>
      <w:r w:rsidR="00F17407" w:rsidRPr="009F3A30">
        <w:t xml:space="preserve"> a pénzügyi szolgáltatói szektort az ügyfelektől, illetve társhatóságoktól érkező panaszok és sajtófigyelés során szerzett információk alapján</w:t>
      </w:r>
      <w:r w:rsidR="0041629D" w:rsidRPr="009F3A30">
        <w:t xml:space="preserve"> </w:t>
      </w:r>
      <w:r w:rsidR="00F17407" w:rsidRPr="009F3A30">
        <w:t>felügyeli, felmerülő kockázati jelzés alapján ellenőrzi.</w:t>
      </w:r>
    </w:p>
    <w:p w14:paraId="621A0C2A" w14:textId="7C7A3807" w:rsidR="00C63813" w:rsidRDefault="00C63813" w:rsidP="00C42182"/>
    <w:p w14:paraId="77C4554F" w14:textId="77777777" w:rsidR="00C63813" w:rsidRPr="00A07F4E" w:rsidRDefault="00C63813" w:rsidP="00C42182"/>
    <w:p w14:paraId="6F45E618" w14:textId="77777777" w:rsidR="00317EC5" w:rsidRPr="00A07F4E" w:rsidRDefault="00317EC5" w:rsidP="00A07F4E">
      <w:pPr>
        <w:pStyle w:val="Cmsor3"/>
        <w:numPr>
          <w:ilvl w:val="0"/>
          <w:numId w:val="128"/>
        </w:numPr>
      </w:pPr>
      <w:bookmarkStart w:id="168" w:name="_Toc109906055"/>
      <w:r w:rsidRPr="00A07F4E">
        <w:lastRenderedPageBreak/>
        <w:t>Azonosított jogsértések</w:t>
      </w:r>
      <w:bookmarkEnd w:id="168"/>
    </w:p>
    <w:p w14:paraId="67991E9A" w14:textId="77D4FB9B" w:rsidR="00317EC5" w:rsidRPr="00A07F4E" w:rsidRDefault="0033760A" w:rsidP="00317EC5">
      <w:r w:rsidRPr="0033760A">
        <w:t xml:space="preserve">Az MNB folyamatos felügyelés keretében </w:t>
      </w:r>
      <w:r w:rsidR="00B93663">
        <w:t>azonosított jogsértést</w:t>
      </w:r>
      <w:r w:rsidRPr="0033760A">
        <w:t xml:space="preserve">, a </w:t>
      </w:r>
      <w:r w:rsidR="00C87105">
        <w:t>s</w:t>
      </w:r>
      <w:r w:rsidRPr="0033760A">
        <w:t xml:space="preserve">zektorban a többi szektortorhoz képest jelentősebb számú szolgáltató nem tett eleget jogszabályi kötelezettségének, az MNB a </w:t>
      </w:r>
      <w:r w:rsidR="00C87105">
        <w:t>s</w:t>
      </w:r>
      <w:r w:rsidRPr="0033760A">
        <w:t>zektorhoz tartozó szolgáltatók 35,9%-</w:t>
      </w:r>
      <w:proofErr w:type="spellStart"/>
      <w:r w:rsidRPr="0033760A">
        <w:t>ánál</w:t>
      </w:r>
      <w:proofErr w:type="spellEnd"/>
      <w:r w:rsidRPr="0033760A">
        <w:t xml:space="preserve"> detektált hiányosságot a kijelölt személyek kijelölésével, bejelentésével kapcsolatban. </w:t>
      </w:r>
      <w:r>
        <w:t xml:space="preserve"> </w:t>
      </w:r>
      <w:r w:rsidR="00317EC5" w:rsidRPr="00A07F4E">
        <w:t xml:space="preserve"> </w:t>
      </w:r>
    </w:p>
    <w:p w14:paraId="7837EBC2" w14:textId="352EF9E6" w:rsidR="00795DD2" w:rsidRDefault="00D73A24" w:rsidP="00D73A24">
      <w:r w:rsidRPr="00A07F4E">
        <w:t xml:space="preserve">Az </w:t>
      </w:r>
      <w:proofErr w:type="spellStart"/>
      <w:r w:rsidR="00294A71" w:rsidRPr="00A07F4E">
        <w:t>EBA</w:t>
      </w:r>
      <w:proofErr w:type="spellEnd"/>
      <w:r w:rsidR="00294A71" w:rsidRPr="00A07F4E">
        <w:t xml:space="preserve"> </w:t>
      </w:r>
      <w:proofErr w:type="spellStart"/>
      <w:r w:rsidR="00294A71" w:rsidRPr="00A07F4E">
        <w:t>Opinion</w:t>
      </w:r>
      <w:proofErr w:type="spellEnd"/>
      <w:r w:rsidR="00294A71" w:rsidRPr="00A07F4E">
        <w:t xml:space="preserve"> alapján, az </w:t>
      </w:r>
      <w:r w:rsidRPr="00A07F4E">
        <w:t xml:space="preserve">ágazatban leggyakrabban azonosított jogsértések az ügyfelek azonosításával és </w:t>
      </w:r>
      <w:r w:rsidR="00294A71" w:rsidRPr="00A07F4E">
        <w:t xml:space="preserve">személyazonosságuk </w:t>
      </w:r>
      <w:r w:rsidRPr="00A07F4E">
        <w:t xml:space="preserve">ellenőrzésével, az ügyfélkockázat értékelésével, az átfogó </w:t>
      </w:r>
      <w:proofErr w:type="spellStart"/>
      <w:r w:rsidR="00294A71" w:rsidRPr="00A07F4E">
        <w:t>AML</w:t>
      </w:r>
      <w:proofErr w:type="spellEnd"/>
      <w:r w:rsidR="00294A71" w:rsidRPr="00A07F4E">
        <w:t>/</w:t>
      </w:r>
      <w:proofErr w:type="spellStart"/>
      <w:r w:rsidR="00294A71" w:rsidRPr="00A07F4E">
        <w:t>CFT</w:t>
      </w:r>
      <w:proofErr w:type="spellEnd"/>
      <w:r w:rsidR="00294A71" w:rsidRPr="00A07F4E">
        <w:t xml:space="preserve"> </w:t>
      </w:r>
      <w:r w:rsidRPr="00A07F4E">
        <w:t>politikák</w:t>
      </w:r>
      <w:r w:rsidR="002E39C9" w:rsidRPr="00A07F4E">
        <w:t>kal</w:t>
      </w:r>
      <w:r w:rsidRPr="00A07F4E">
        <w:t xml:space="preserve"> és eljárások</w:t>
      </w:r>
      <w:r w:rsidR="002E39C9" w:rsidRPr="00A07F4E">
        <w:t>kal</w:t>
      </w:r>
      <w:r w:rsidRPr="00A07F4E">
        <w:t xml:space="preserve">, valamint a folyamatos </w:t>
      </w:r>
      <w:proofErr w:type="spellStart"/>
      <w:r w:rsidR="00294A71" w:rsidRPr="00A07F4E">
        <w:t>monitoring</w:t>
      </w:r>
      <w:r w:rsidR="002E39C9" w:rsidRPr="00A07F4E">
        <w:t>gal</w:t>
      </w:r>
      <w:proofErr w:type="spellEnd"/>
      <w:r w:rsidR="002E39C9" w:rsidRPr="00A07F4E">
        <w:t xml:space="preserve"> kapcsolatban voltak</w:t>
      </w:r>
      <w:r w:rsidRPr="00A07F4E">
        <w:t xml:space="preserve">. </w:t>
      </w:r>
    </w:p>
    <w:p w14:paraId="145C6E4F" w14:textId="77777777" w:rsidR="00FA182A" w:rsidRPr="00A07F4E" w:rsidRDefault="00FA182A" w:rsidP="00A07F4E">
      <w:pPr>
        <w:pStyle w:val="Cmsor3"/>
        <w:numPr>
          <w:ilvl w:val="0"/>
          <w:numId w:val="128"/>
        </w:numPr>
      </w:pPr>
      <w:bookmarkStart w:id="169" w:name="_Toc109906056"/>
      <w:r w:rsidRPr="00A07F4E">
        <w:t>Maradványkockázat:</w:t>
      </w:r>
      <w:bookmarkEnd w:id="169"/>
    </w:p>
    <w:p w14:paraId="390097DA" w14:textId="40C55308" w:rsidR="00FA182A" w:rsidRPr="00A07F4E" w:rsidRDefault="00FA182A" w:rsidP="00FA182A">
      <w:r w:rsidRPr="00A07F4E">
        <w:t>A</w:t>
      </w:r>
      <w:r w:rsidR="0033760A">
        <w:t xml:space="preserve">z MNB </w:t>
      </w:r>
      <w:r w:rsidRPr="00A07F4E">
        <w:t>a maradványkockázatot Mérsékelten jelentős</w:t>
      </w:r>
      <w:r w:rsidR="006E52E5" w:rsidRPr="00A07F4E">
        <w:t>nek</w:t>
      </w:r>
      <w:r w:rsidRPr="00A07F4E">
        <w:t xml:space="preserve"> értékeli</w:t>
      </w:r>
      <w:r w:rsidR="006E52E5" w:rsidRPr="00A07F4E">
        <w:t>. Megállapítható, hogy az</w:t>
      </w:r>
      <w:r w:rsidRPr="00A07F4E">
        <w:t xml:space="preserve"> inherens kockázati besorolás megegyezik a maradványkockázattal.</w:t>
      </w:r>
    </w:p>
    <w:tbl>
      <w:tblPr>
        <w:tblW w:w="4040" w:type="dxa"/>
        <w:jc w:val="center"/>
        <w:tblCellMar>
          <w:left w:w="70" w:type="dxa"/>
          <w:right w:w="70" w:type="dxa"/>
        </w:tblCellMar>
        <w:tblLook w:val="04A0" w:firstRow="1" w:lastRow="0" w:firstColumn="1" w:lastColumn="0" w:noHBand="0" w:noVBand="1"/>
      </w:tblPr>
      <w:tblGrid>
        <w:gridCol w:w="2140"/>
        <w:gridCol w:w="1900"/>
      </w:tblGrid>
      <w:tr w:rsidR="00FC544A" w:rsidRPr="00A07F4E" w14:paraId="2A9CE48E" w14:textId="77777777" w:rsidTr="00FC544A">
        <w:trPr>
          <w:trHeight w:val="300"/>
          <w:jc w:val="center"/>
        </w:trPr>
        <w:tc>
          <w:tcPr>
            <w:tcW w:w="2140" w:type="dxa"/>
            <w:tcBorders>
              <w:top w:val="nil"/>
              <w:left w:val="nil"/>
              <w:bottom w:val="nil"/>
              <w:right w:val="nil"/>
            </w:tcBorders>
            <w:shd w:val="clear" w:color="auto" w:fill="auto"/>
            <w:noWrap/>
            <w:vAlign w:val="center"/>
            <w:hideMark/>
          </w:tcPr>
          <w:p w14:paraId="66CE6727" w14:textId="77777777" w:rsidR="00FC544A" w:rsidRPr="00A07F4E" w:rsidRDefault="00FC544A" w:rsidP="00FC544A">
            <w:pPr>
              <w:spacing w:after="0" w:line="240" w:lineRule="auto"/>
              <w:jc w:val="center"/>
              <w:rPr>
                <w:rFonts w:eastAsia="Times New Roman" w:cs="Calibri"/>
                <w:b/>
                <w:bCs/>
                <w:color w:val="000000"/>
              </w:rPr>
            </w:pPr>
            <w:r w:rsidRPr="00A07F4E">
              <w:rPr>
                <w:rFonts w:eastAsia="Times New Roman" w:cs="Calibri"/>
                <w:b/>
                <w:bCs/>
                <w:color w:val="000000"/>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581EA9" w14:textId="77777777" w:rsidR="00FC544A" w:rsidRPr="00A07F4E" w:rsidRDefault="00FC544A" w:rsidP="00FC544A">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bl>
    <w:p w14:paraId="5FF8E709" w14:textId="483B71E2" w:rsidR="006E52E5" w:rsidRDefault="006E52E5" w:rsidP="00FA182A"/>
    <w:p w14:paraId="6AC44119" w14:textId="77777777" w:rsidR="006B6E04" w:rsidRPr="00A07F4E" w:rsidRDefault="00E870E3" w:rsidP="00EB55A1">
      <w:pPr>
        <w:pStyle w:val="Cmsor2"/>
      </w:pPr>
      <w:bookmarkStart w:id="170" w:name="_Toc109906057"/>
      <w:r w:rsidRPr="00A07F4E">
        <w:t>Életbiztosít</w:t>
      </w:r>
      <w:r w:rsidR="00B07B08" w:rsidRPr="00A07F4E">
        <w:t>ó</w:t>
      </w:r>
      <w:r w:rsidR="00795DD2" w:rsidRPr="00A07F4E">
        <w:t>k</w:t>
      </w:r>
      <w:bookmarkEnd w:id="170"/>
    </w:p>
    <w:p w14:paraId="06024D74" w14:textId="77777777" w:rsidR="006B6E04" w:rsidRPr="00A07F4E" w:rsidRDefault="006B6E04" w:rsidP="00A07F4E">
      <w:pPr>
        <w:pStyle w:val="Cmsor3"/>
        <w:numPr>
          <w:ilvl w:val="0"/>
          <w:numId w:val="138"/>
        </w:numPr>
      </w:pPr>
      <w:bookmarkStart w:id="171" w:name="_Toc109906058"/>
      <w:r w:rsidRPr="00A07F4E">
        <w:t>A szektor méretére, tevékenységi körére és összetettségére vonatkozó információk összesített formában</w:t>
      </w:r>
      <w:bookmarkEnd w:id="171"/>
    </w:p>
    <w:p w14:paraId="216207E0" w14:textId="09A9F282" w:rsidR="006B6E04" w:rsidRPr="00A07F4E" w:rsidRDefault="006B6E04" w:rsidP="006B6E04">
      <w:r w:rsidRPr="00EB55A1">
        <w:t>A</w:t>
      </w:r>
      <w:r w:rsidR="00D33969" w:rsidRPr="00EB55A1">
        <w:t>z MNB</w:t>
      </w:r>
      <w:r w:rsidR="00F15F64" w:rsidRPr="00EB55A1">
        <w:t xml:space="preserve"> </w:t>
      </w:r>
      <w:r w:rsidRPr="00A07F4E">
        <w:t xml:space="preserve">Magyarországon </w:t>
      </w:r>
      <w:proofErr w:type="spellStart"/>
      <w:r w:rsidRPr="00A07F4E">
        <w:t>AML</w:t>
      </w:r>
      <w:proofErr w:type="spellEnd"/>
      <w:r w:rsidRPr="00A07F4E">
        <w:t>/</w:t>
      </w:r>
      <w:proofErr w:type="spellStart"/>
      <w:r w:rsidRPr="00A07F4E">
        <w:t>CFT</w:t>
      </w:r>
      <w:proofErr w:type="spellEnd"/>
      <w:r w:rsidRPr="00A07F4E">
        <w:t xml:space="preserve"> felügyeletet </w:t>
      </w:r>
      <w:r w:rsidR="004D60F7" w:rsidRPr="00FC37B3">
        <w:t>10-15 közötti számú</w:t>
      </w:r>
      <w:r w:rsidR="00935BD1" w:rsidRPr="00FC37B3">
        <w:t xml:space="preserve"> </w:t>
      </w:r>
      <w:r w:rsidRPr="00A07F4E">
        <w:t xml:space="preserve">biztosító felett gyakorol. </w:t>
      </w:r>
      <w:r w:rsidR="008C1A55">
        <w:t>A szolgáltatók</w:t>
      </w:r>
      <w:r w:rsidRPr="00A07F4E">
        <w:t xml:space="preserve"> biztosítási tevékenységet látnak el. </w:t>
      </w:r>
      <w:r w:rsidR="00F15F64" w:rsidRPr="00F15F64">
        <w:t xml:space="preserve">Az MNB </w:t>
      </w:r>
      <w:proofErr w:type="spellStart"/>
      <w:r w:rsidR="00F15F64" w:rsidRPr="00F15F64">
        <w:t>AML</w:t>
      </w:r>
      <w:proofErr w:type="spellEnd"/>
      <w:r w:rsidR="00F15F64" w:rsidRPr="00F15F64">
        <w:t>/</w:t>
      </w:r>
      <w:proofErr w:type="spellStart"/>
      <w:r w:rsidR="00F15F64" w:rsidRPr="00F15F64">
        <w:t>CFT</w:t>
      </w:r>
      <w:proofErr w:type="spellEnd"/>
      <w:r w:rsidR="00F15F64" w:rsidRPr="00F15F64">
        <w:t xml:space="preserve"> felügyeletet kizárólag az életbiztosítási ágba tartozó tevékenységet végző biztosító felett gyakorol, tekintettel arra, hogy nem tartozik a </w:t>
      </w:r>
      <w:proofErr w:type="spellStart"/>
      <w:r w:rsidR="00F15F64" w:rsidRPr="00F15F64">
        <w:t>Pmt</w:t>
      </w:r>
      <w:proofErr w:type="spellEnd"/>
      <w:r w:rsidR="00F15F64" w:rsidRPr="00F15F64">
        <w:t>. hatálya alá a függő és független biztosításközvetítő, a nem-életbiztosítási ágba tartozó szerződésekkel kapcsolatos tevékenysége során, valamint a biztosító, amennyiben kizárólag nem-életbiztosítási ágba tartozó tevékenység végzésére rendelkezik engedéllyel, továbbá a nem-életbiztosítási ágba tartozó és az életbiztosítási ágba tartozó tevékenység egyidejű végzésére engedéllyel rendelkező szolgáltató (kompozit biztosító) pedig a nem-életbiztosítási tevékenysége tekintetében.</w:t>
      </w:r>
    </w:p>
    <w:p w14:paraId="7378187A" w14:textId="77777777" w:rsidR="006B6E04" w:rsidRPr="00A07F4E" w:rsidRDefault="006B6E04" w:rsidP="00A07F4E">
      <w:pPr>
        <w:pStyle w:val="Cmsor3"/>
        <w:numPr>
          <w:ilvl w:val="0"/>
          <w:numId w:val="138"/>
        </w:numPr>
      </w:pPr>
      <w:bookmarkStart w:id="172" w:name="_Toc106869592"/>
      <w:bookmarkStart w:id="173" w:name="_Toc107236457"/>
      <w:bookmarkStart w:id="174" w:name="_Toc107237365"/>
      <w:bookmarkStart w:id="175" w:name="_Toc107237691"/>
      <w:bookmarkStart w:id="176" w:name="_Toc106869593"/>
      <w:bookmarkStart w:id="177" w:name="_Toc107236458"/>
      <w:bookmarkStart w:id="178" w:name="_Toc107237366"/>
      <w:bookmarkStart w:id="179" w:name="_Toc107237692"/>
      <w:bookmarkStart w:id="180" w:name="_Toc106869594"/>
      <w:bookmarkStart w:id="181" w:name="_Toc107236459"/>
      <w:bookmarkStart w:id="182" w:name="_Toc107237367"/>
      <w:bookmarkStart w:id="183" w:name="_Toc107237693"/>
      <w:bookmarkStart w:id="184" w:name="_Toc109906059"/>
      <w:bookmarkEnd w:id="172"/>
      <w:bookmarkEnd w:id="173"/>
      <w:bookmarkEnd w:id="174"/>
      <w:bookmarkEnd w:id="175"/>
      <w:bookmarkEnd w:id="176"/>
      <w:bookmarkEnd w:id="177"/>
      <w:bookmarkEnd w:id="178"/>
      <w:bookmarkEnd w:id="179"/>
      <w:bookmarkEnd w:id="180"/>
      <w:bookmarkEnd w:id="181"/>
      <w:bookmarkEnd w:id="182"/>
      <w:bookmarkEnd w:id="183"/>
      <w:r w:rsidRPr="00A07F4E">
        <w:t>Inherens kockázatértékelés</w:t>
      </w:r>
      <w:bookmarkEnd w:id="184"/>
    </w:p>
    <w:p w14:paraId="614FFFB2" w14:textId="77777777" w:rsidR="00571B78" w:rsidRPr="00A07F4E" w:rsidRDefault="00571B78" w:rsidP="00A07F4E">
      <w:pPr>
        <w:pStyle w:val="Listaszerbekezds"/>
        <w:numPr>
          <w:ilvl w:val="1"/>
          <w:numId w:val="18"/>
        </w:numPr>
        <w:ind w:left="851" w:hanging="284"/>
      </w:pPr>
      <w:r w:rsidRPr="00A07F4E">
        <w:t>Az életbiztosít</w:t>
      </w:r>
      <w:r w:rsidR="00291050" w:rsidRPr="00A07F4E">
        <w:t xml:space="preserve">ási </w:t>
      </w:r>
      <w:r w:rsidRPr="00A07F4E">
        <w:t>szektorban rejlő ML/</w:t>
      </w:r>
      <w:proofErr w:type="spellStart"/>
      <w:r w:rsidRPr="00A07F4E">
        <w:t>TF</w:t>
      </w:r>
      <w:proofErr w:type="spellEnd"/>
      <w:r w:rsidRPr="00A07F4E">
        <w:t xml:space="preserve"> kockázati tényezők</w:t>
      </w:r>
    </w:p>
    <w:p w14:paraId="551147C6" w14:textId="466688F5" w:rsidR="006B6E04" w:rsidRPr="00A07F4E" w:rsidRDefault="00D00776" w:rsidP="00FC4014">
      <w:r>
        <w:t>A termék/szolgáltatás, ügyfél, földrajzi, valamint értékesítési csatornához társítható kockázatok</w:t>
      </w:r>
      <w:r w:rsidR="0088309D">
        <w:t xml:space="preserve"> </w:t>
      </w:r>
      <w:r>
        <w:t xml:space="preserve">MNB általi értékelését az alábbi táblázat szemlélteti: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F55F34" w:rsidRPr="003168BA" w14:paraId="59BBED47" w14:textId="77777777" w:rsidTr="00300DCA">
        <w:trPr>
          <w:trHeight w:val="314"/>
        </w:trPr>
        <w:tc>
          <w:tcPr>
            <w:tcW w:w="3061" w:type="dxa"/>
          </w:tcPr>
          <w:p w14:paraId="78BF6718" w14:textId="77777777" w:rsidR="00F55F34" w:rsidRPr="00554E41" w:rsidRDefault="00F55F34"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61E2ED71" w14:textId="77777777" w:rsidR="00F55F34" w:rsidRPr="00554E41" w:rsidRDefault="00F55F34"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F55F34" w:rsidRPr="003168BA" w14:paraId="338E63E0" w14:textId="77777777" w:rsidTr="00EB55A1">
        <w:tc>
          <w:tcPr>
            <w:tcW w:w="3061" w:type="dxa"/>
            <w:shd w:val="clear" w:color="auto" w:fill="auto"/>
          </w:tcPr>
          <w:p w14:paraId="198AA5D8" w14:textId="77777777" w:rsidR="00F55F34" w:rsidRPr="00554E41" w:rsidRDefault="00F55F34"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92D050"/>
          </w:tcPr>
          <w:p w14:paraId="77091C44" w14:textId="1A1DBA4C" w:rsidR="00F55F34" w:rsidRPr="00554E41" w:rsidRDefault="00F55F34"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F55F34" w14:paraId="367B6F24" w14:textId="77777777" w:rsidTr="00EB55A1">
        <w:tc>
          <w:tcPr>
            <w:tcW w:w="3061" w:type="dxa"/>
            <w:shd w:val="clear" w:color="auto" w:fill="auto"/>
          </w:tcPr>
          <w:p w14:paraId="789A55EC" w14:textId="77777777" w:rsidR="00F55F34" w:rsidRPr="00554E41" w:rsidRDefault="00F55F34"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FFFF00"/>
          </w:tcPr>
          <w:p w14:paraId="53DF3EDC" w14:textId="77777777" w:rsidR="00F55F34" w:rsidRPr="00554E41" w:rsidRDefault="00F55F34"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r w:rsidR="00F55F34" w14:paraId="41E109AC" w14:textId="77777777" w:rsidTr="00EB55A1">
        <w:trPr>
          <w:trHeight w:val="50"/>
        </w:trPr>
        <w:tc>
          <w:tcPr>
            <w:tcW w:w="3061" w:type="dxa"/>
            <w:shd w:val="clear" w:color="auto" w:fill="auto"/>
          </w:tcPr>
          <w:p w14:paraId="38637D2A" w14:textId="77777777" w:rsidR="00F55F34" w:rsidRPr="00554E41" w:rsidRDefault="00F55F34"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Földrajzi</w:t>
            </w:r>
          </w:p>
        </w:tc>
        <w:tc>
          <w:tcPr>
            <w:tcW w:w="3035" w:type="dxa"/>
            <w:shd w:val="clear" w:color="auto" w:fill="92D050"/>
          </w:tcPr>
          <w:p w14:paraId="5BC579DD" w14:textId="44FC2F5E" w:rsidR="00F55F34" w:rsidRPr="00554E41" w:rsidRDefault="00F55F34"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F55F34" w14:paraId="32C63AA1" w14:textId="77777777" w:rsidTr="00EB55A1">
        <w:tc>
          <w:tcPr>
            <w:tcW w:w="3061" w:type="dxa"/>
            <w:shd w:val="clear" w:color="auto" w:fill="auto"/>
          </w:tcPr>
          <w:p w14:paraId="713CE505" w14:textId="5657A4D2" w:rsidR="00F55F34" w:rsidRPr="00554E41" w:rsidRDefault="00F55F34"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sidR="00D00776">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FFC000"/>
          </w:tcPr>
          <w:p w14:paraId="482AF357" w14:textId="394224D7" w:rsidR="00F55F34" w:rsidRPr="00554E41" w:rsidRDefault="00F55F34"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Jelentős</w:t>
            </w:r>
          </w:p>
        </w:tc>
      </w:tr>
    </w:tbl>
    <w:p w14:paraId="0BFA9FA6" w14:textId="3661DE7C" w:rsidR="00DB5B80" w:rsidRPr="00A07F4E" w:rsidRDefault="00D00776" w:rsidP="00C63813">
      <w:pPr>
        <w:spacing w:before="120"/>
      </w:pPr>
      <w:r w:rsidRPr="00095247">
        <w:t xml:space="preserve"> </w:t>
      </w:r>
      <w:r>
        <w:t>Az életbiztosítói szektorba tartozó szolgáltatók vonatkozásában kockázatként került azonosításra</w:t>
      </w:r>
      <w:r w:rsidR="00ED25AA">
        <w:t>, hogy a szolgáltatók nem allokálnak megfelelő</w:t>
      </w:r>
      <w:r>
        <w:t xml:space="preserve"> </w:t>
      </w:r>
      <w:r w:rsidR="00ED25AA">
        <w:t xml:space="preserve">humán erőforrást az </w:t>
      </w:r>
      <w:proofErr w:type="spellStart"/>
      <w:r w:rsidR="00ED25AA">
        <w:t>AML</w:t>
      </w:r>
      <w:proofErr w:type="spellEnd"/>
      <w:r w:rsidR="00ED25AA">
        <w:t>/</w:t>
      </w:r>
      <w:proofErr w:type="spellStart"/>
      <w:r w:rsidR="00ED25AA">
        <w:t>CFT</w:t>
      </w:r>
      <w:proofErr w:type="spellEnd"/>
      <w:r w:rsidR="00ED25AA">
        <w:t xml:space="preserve"> feladatok ellátására. Továbbá k</w:t>
      </w:r>
      <w:r w:rsidR="00DB5B80" w:rsidRPr="00A07F4E">
        <w:t>ockázatként került azonosításra</w:t>
      </w:r>
      <w:r w:rsidR="00144800">
        <w:t>,</w:t>
      </w:r>
      <w:r w:rsidR="00DB5B80" w:rsidRPr="00A07F4E">
        <w:t xml:space="preserve"> </w:t>
      </w:r>
      <w:r w:rsidR="006D1957">
        <w:t>hogy</w:t>
      </w:r>
      <w:r w:rsidR="00ED25AA">
        <w:t xml:space="preserve"> </w:t>
      </w:r>
      <w:r w:rsidR="00DB5B80" w:rsidRPr="00A07F4E">
        <w:t xml:space="preserve">a </w:t>
      </w:r>
      <w:r w:rsidR="006D1957" w:rsidRPr="00A07F4E">
        <w:t>kockázat</w:t>
      </w:r>
      <w:r w:rsidR="006D1957">
        <w:t>érzékenységi</w:t>
      </w:r>
      <w:r w:rsidR="006D1957" w:rsidRPr="00A07F4E">
        <w:t xml:space="preserve"> </w:t>
      </w:r>
      <w:r w:rsidR="00DB5B80" w:rsidRPr="00A07F4E">
        <w:t xml:space="preserve">megközelítést </w:t>
      </w:r>
      <w:r w:rsidR="00ED25AA">
        <w:t>a szolgáltatók nem alkalmazzák a gyakorlatukban</w:t>
      </w:r>
      <w:r w:rsidR="00DB5B80" w:rsidRPr="00A07F4E">
        <w:t xml:space="preserve">. </w:t>
      </w:r>
      <w:r w:rsidR="00ED25AA">
        <w:t>Az MNB további k</w:t>
      </w:r>
      <w:r w:rsidR="00DB5B80" w:rsidRPr="00A07F4E">
        <w:t xml:space="preserve">ockázatként </w:t>
      </w:r>
      <w:r w:rsidR="00ED25AA">
        <w:t>azonosította</w:t>
      </w:r>
      <w:r w:rsidR="00DB5B80" w:rsidRPr="00A07F4E">
        <w:t xml:space="preserve">, hogy </w:t>
      </w:r>
      <w:r w:rsidR="008C1A55">
        <w:t>a szolgáltatók</w:t>
      </w:r>
      <w:r w:rsidR="00DB5B80" w:rsidRPr="00A07F4E">
        <w:t xml:space="preserve"> nem alkalmaznak megfelelő </w:t>
      </w:r>
      <w:r w:rsidR="00ED25AA">
        <w:t>ügyfél-</w:t>
      </w:r>
      <w:r w:rsidR="00DB5B80" w:rsidRPr="00A07F4E">
        <w:t xml:space="preserve">átvilágítási eljárásokat vagy rendszereket az EU és az ENSZ BT célzott pénzügyi szankciós </w:t>
      </w:r>
      <w:r w:rsidR="00F17407" w:rsidRPr="009F3A30">
        <w:t>listái szerinti</w:t>
      </w:r>
      <w:r w:rsidR="00F17407" w:rsidRPr="00A07F4E">
        <w:t xml:space="preserve"> </w:t>
      </w:r>
      <w:r w:rsidR="00DB5B80" w:rsidRPr="00A07F4E">
        <w:t>átvilágításra.</w:t>
      </w:r>
    </w:p>
    <w:p w14:paraId="28CB49AB" w14:textId="6857D993" w:rsidR="006B6E04" w:rsidRPr="00A07F4E" w:rsidRDefault="00893E51" w:rsidP="006B6E04">
      <w:r w:rsidRPr="00A07F4E">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 szektor nem az első számú célpont, amelyet ML/</w:t>
      </w:r>
      <w:proofErr w:type="spellStart"/>
      <w:r w:rsidRPr="00A07F4E">
        <w:t>TF</w:t>
      </w:r>
      <w:proofErr w:type="spellEnd"/>
      <w:r w:rsidRPr="00A07F4E">
        <w:t xml:space="preserve"> célokra felhasználnak, habár a szektor nagyon eltérő</w:t>
      </w:r>
      <w:r w:rsidR="00ED25AA">
        <w:t>en értékelt</w:t>
      </w:r>
      <w:r w:rsidRPr="00A07F4E">
        <w:t xml:space="preserve"> EU szerte, </w:t>
      </w:r>
      <w:r w:rsidR="008037B7">
        <w:t>tekintettel arra, hogy</w:t>
      </w:r>
      <w:r w:rsidRPr="00A07F4E">
        <w:t xml:space="preserve"> néhány </w:t>
      </w:r>
      <w:r w:rsidR="00ED25AA">
        <w:t xml:space="preserve">külföldi </w:t>
      </w:r>
      <w:r w:rsidRPr="00A07F4E">
        <w:t xml:space="preserve">hatóság, </w:t>
      </w:r>
      <w:r w:rsidR="00ED25AA">
        <w:t>különösen</w:t>
      </w:r>
      <w:r w:rsidR="00B702F0">
        <w:t>,</w:t>
      </w:r>
      <w:r w:rsidRPr="00A07F4E">
        <w:t xml:space="preserve"> ahol a biztosítások</w:t>
      </w:r>
      <w:r w:rsidR="00ED25AA">
        <w:t>kal összefüggő ML/</w:t>
      </w:r>
      <w:proofErr w:type="spellStart"/>
      <w:r w:rsidR="00ED25AA">
        <w:t>TF</w:t>
      </w:r>
      <w:proofErr w:type="spellEnd"/>
      <w:r w:rsidR="00ED25AA">
        <w:t xml:space="preserve"> kockázatok</w:t>
      </w:r>
      <w:r w:rsidRPr="00A07F4E">
        <w:t xml:space="preserve"> </w:t>
      </w:r>
      <w:r w:rsidR="008037B7">
        <w:t>potenciálisan</w:t>
      </w:r>
      <w:r w:rsidRPr="00A07F4E">
        <w:t xml:space="preserve"> </w:t>
      </w:r>
      <w:r w:rsidR="003C0EC9" w:rsidRPr="00A07F4E">
        <w:t xml:space="preserve">hangsúlyosabbak </w:t>
      </w:r>
      <w:r w:rsidRPr="00A07F4E">
        <w:t xml:space="preserve">több </w:t>
      </w:r>
      <w:r w:rsidR="008C1A55">
        <w:t>szolgáltató</w:t>
      </w:r>
      <w:r w:rsidR="008037B7">
        <w:t>hoz</w:t>
      </w:r>
      <w:r w:rsidRPr="00A07F4E">
        <w:t xml:space="preserve"> Jelentős kockázati </w:t>
      </w:r>
      <w:r w:rsidR="008037B7">
        <w:t>értéket társított</w:t>
      </w:r>
      <w:r w:rsidRPr="00A07F4E">
        <w:t xml:space="preserve">. </w:t>
      </w:r>
    </w:p>
    <w:p w14:paraId="70C9B3A1" w14:textId="246C1E45" w:rsidR="007F0390" w:rsidRPr="00A07F4E" w:rsidRDefault="007F0390" w:rsidP="006B6E04">
      <w:r w:rsidRPr="00A07F4E">
        <w:t>A</w:t>
      </w:r>
      <w:r w:rsidR="002849F6">
        <w:t xml:space="preserve">z </w:t>
      </w:r>
      <w:proofErr w:type="spellStart"/>
      <w:r w:rsidR="002849F6">
        <w:t>EBA</w:t>
      </w:r>
      <w:proofErr w:type="spellEnd"/>
      <w:r w:rsidR="002849F6">
        <w:t xml:space="preserve"> </w:t>
      </w:r>
      <w:proofErr w:type="spellStart"/>
      <w:r w:rsidR="002849F6">
        <w:t>Opin</w:t>
      </w:r>
      <w:r w:rsidR="00B154D8">
        <w:t>i</w:t>
      </w:r>
      <w:r w:rsidR="002849F6">
        <w:t>on</w:t>
      </w:r>
      <w:proofErr w:type="spellEnd"/>
      <w:r w:rsidR="002849F6">
        <w:t xml:space="preserve"> szerint az</w:t>
      </w:r>
      <w:r w:rsidRPr="00A07F4E">
        <w:t xml:space="preserve"> értékesítés</w:t>
      </w:r>
      <w:r w:rsidR="006C157B" w:rsidRPr="00A07F4E">
        <w:t>i</w:t>
      </w:r>
      <w:r w:rsidRPr="00A07F4E">
        <w:t xml:space="preserve"> csatorna nagyobb kockázatot </w:t>
      </w:r>
      <w:r w:rsidR="002849F6">
        <w:t>hordoz</w:t>
      </w:r>
      <w:r w:rsidRPr="00A07F4E">
        <w:t xml:space="preserve">, tekintettel arra, hogy számos </w:t>
      </w:r>
      <w:r w:rsidR="002849F6">
        <w:t xml:space="preserve">esetben </w:t>
      </w:r>
      <w:r w:rsidRPr="00A07F4E">
        <w:t xml:space="preserve">közvetítőt vesznek igénybe </w:t>
      </w:r>
      <w:r w:rsidR="008C1A55">
        <w:t>a szolgáltatók</w:t>
      </w:r>
      <w:r w:rsidRPr="00A07F4E">
        <w:t xml:space="preserve">, </w:t>
      </w:r>
      <w:r w:rsidR="002849F6" w:rsidRPr="00A07F4E">
        <w:t>amelyek,</w:t>
      </w:r>
      <w:r w:rsidRPr="00A07F4E">
        <w:t xml:space="preserve"> mint harmadik felek végzik el az ügyfél-átvilágítási tevékenységeket </w:t>
      </w:r>
      <w:r w:rsidR="008C1A55">
        <w:t>a szolgáltatók</w:t>
      </w:r>
      <w:r w:rsidRPr="00A07F4E">
        <w:t xml:space="preserve"> helyett, ezzel nagyobb kockázatot futva az értékesítési csatornát tekintve. </w:t>
      </w:r>
      <w:r w:rsidR="00242F6F" w:rsidRPr="00A07F4E">
        <w:t>A közvetítők elterjedése ebben a szektorban a legyakoribb. Bár a közvetítők alkalmazása a sze</w:t>
      </w:r>
      <w:r w:rsidR="006C157B" w:rsidRPr="00A07F4E">
        <w:t>k</w:t>
      </w:r>
      <w:r w:rsidR="00242F6F" w:rsidRPr="00A07F4E">
        <w:t>to</w:t>
      </w:r>
      <w:r w:rsidR="006C157B" w:rsidRPr="00A07F4E">
        <w:t>r</w:t>
      </w:r>
      <w:r w:rsidR="00242F6F" w:rsidRPr="00A07F4E">
        <w:t xml:space="preserve">ban nem befolyásolja jelentősen </w:t>
      </w:r>
      <w:r w:rsidR="00242F6F" w:rsidRPr="00A07F4E">
        <w:lastRenderedPageBreak/>
        <w:t xml:space="preserve">az ágazat általános kockázatait, mégis lehetséges </w:t>
      </w:r>
      <w:r w:rsidR="002849F6">
        <w:t xml:space="preserve">sérülékenységet </w:t>
      </w:r>
      <w:r w:rsidR="00242F6F" w:rsidRPr="00A07F4E">
        <w:t>teremt, mivel a biztosítók jobban eltávolodnak az ügyf</w:t>
      </w:r>
      <w:r w:rsidR="00B471CD" w:rsidRPr="00A07F4E">
        <w:t>elek</w:t>
      </w:r>
      <w:r w:rsidR="00242F6F" w:rsidRPr="00A07F4E">
        <w:t>től, mintha ők maguk közvetlenül nyújtanák a szolgáltatást.</w:t>
      </w:r>
      <w:r w:rsidR="00B471CD" w:rsidRPr="00A07F4E">
        <w:t xml:space="preserve"> Ezen túlmenően az életbiztosítási üzletág nagy része befektetési lehetőségekkel összekapcsolt életbiztosítást tartalmaz. A hatóságok által említett fő ügyfélkockázatok a </w:t>
      </w:r>
      <w:r w:rsidR="00E20572">
        <w:t>kiemelt közszereplőkk</w:t>
      </w:r>
      <w:r w:rsidR="00B471CD" w:rsidRPr="00A07F4E">
        <w:t>e</w:t>
      </w:r>
      <w:r w:rsidR="00E20572">
        <w:t>l</w:t>
      </w:r>
      <w:r w:rsidR="00B471CD" w:rsidRPr="00A07F4E">
        <w:t xml:space="preserve"> az ügyfél külföldi számláira történő kifizetésekkel, a csalással, a készpénzhasználattal, a természetes személytől eltérő ügyf</w:t>
      </w:r>
      <w:r w:rsidR="00571B78" w:rsidRPr="00A07F4E">
        <w:t>elekkel</w:t>
      </w:r>
      <w:r w:rsidR="00B471CD" w:rsidRPr="00A07F4E">
        <w:t xml:space="preserve"> való </w:t>
      </w:r>
      <w:r w:rsidR="00571B78" w:rsidRPr="00A07F4E">
        <w:t xml:space="preserve">üzleti kapcsolattal, illetve </w:t>
      </w:r>
      <w:r w:rsidR="00B471CD" w:rsidRPr="00A07F4E">
        <w:t>az ügyféltől eltérő kedvezményezettekkel voltak kapcsolatosak. Ugyanakkor ezen ügyfelek kockázatait</w:t>
      </w:r>
      <w:r w:rsidR="002849F6">
        <w:t xml:space="preserve"> a külföldi hatsóágok</w:t>
      </w:r>
      <w:r w:rsidR="00B471CD" w:rsidRPr="00A07F4E">
        <w:t xml:space="preserve"> még mindig </w:t>
      </w:r>
      <w:r w:rsidR="00460944" w:rsidRPr="00A07F4E">
        <w:t>M</w:t>
      </w:r>
      <w:r w:rsidR="00B471CD" w:rsidRPr="00A07F4E">
        <w:t xml:space="preserve">érsékelt vagy </w:t>
      </w:r>
      <w:r w:rsidR="00460944" w:rsidRPr="00A07F4E">
        <w:t>K</w:t>
      </w:r>
      <w:r w:rsidR="00B471CD" w:rsidRPr="00A07F4E">
        <w:t>evésbé jelentős kockázatokat jelentőnek ítélték.</w:t>
      </w:r>
    </w:p>
    <w:p w14:paraId="04FD2466" w14:textId="77777777" w:rsidR="008345F6" w:rsidRPr="00A07F4E" w:rsidRDefault="008345F6" w:rsidP="008345F6">
      <w:pPr>
        <w:pStyle w:val="Listaszerbekezds"/>
        <w:numPr>
          <w:ilvl w:val="1"/>
          <w:numId w:val="18"/>
        </w:numPr>
      </w:pPr>
      <w:r w:rsidRPr="00A07F4E">
        <w:t>Az életbiztosítási szektorban rejlő, határokon átnyúló ML/</w:t>
      </w:r>
      <w:proofErr w:type="spellStart"/>
      <w:r w:rsidRPr="00A07F4E">
        <w:t>TF</w:t>
      </w:r>
      <w:proofErr w:type="spellEnd"/>
      <w:r w:rsidRPr="00A07F4E">
        <w:t xml:space="preserve"> kockázatok </w:t>
      </w:r>
    </w:p>
    <w:p w14:paraId="4DA4F445" w14:textId="77777777" w:rsidR="002849F6" w:rsidRDefault="002849F6" w:rsidP="002849F6">
      <w:r w:rsidRPr="002849F6">
        <w:t>A</w:t>
      </w:r>
      <w:r>
        <w:t xml:space="preserve"> hazai életbiztosítók</w:t>
      </w:r>
      <w:r w:rsidRPr="002849F6">
        <w:t xml:space="preserve"> tulajdonosi köre jellemzően </w:t>
      </w:r>
      <w:r>
        <w:t>külföldi</w:t>
      </w:r>
      <w:r w:rsidRPr="002849F6">
        <w:t>, az élet ágon tevékenykedő biztosítók túlnyomó többsége EU-n belüli, külföldi anyavállalatokkal rendelkezik.</w:t>
      </w:r>
      <w:r>
        <w:t xml:space="preserve"> </w:t>
      </w:r>
    </w:p>
    <w:p w14:paraId="7E6A08BC" w14:textId="62D1F3D6" w:rsidR="00CE1C15" w:rsidRPr="00A07F4E" w:rsidRDefault="002849F6" w:rsidP="00FC4014">
      <w:r>
        <w:t xml:space="preserve">Elmondható azonban az is, hogy </w:t>
      </w:r>
      <w:r w:rsidR="00CE1C15" w:rsidRPr="00A07F4E">
        <w:t xml:space="preserve">tipikusan magyar ügyfelekkel rendelkeznek a szektorhoz tartozó </w:t>
      </w:r>
      <w:r w:rsidR="008C1A55">
        <w:t>szolgáltatók</w:t>
      </w:r>
      <w:r w:rsidR="00CE1C15" w:rsidRPr="00A07F4E">
        <w:t xml:space="preserve">. </w:t>
      </w:r>
    </w:p>
    <w:p w14:paraId="44DE1087" w14:textId="1FE24F3D" w:rsidR="003C0EC9" w:rsidRPr="00A07F4E" w:rsidRDefault="003C0EC9" w:rsidP="00CE1C15">
      <w:r w:rsidRPr="00A07F4E">
        <w:rPr>
          <w:b/>
          <w:bCs/>
        </w:rPr>
        <w:t>A</w:t>
      </w:r>
      <w:r w:rsidR="002849F6">
        <w:rPr>
          <w:b/>
          <w:bCs/>
        </w:rPr>
        <w:t xml:space="preserve">z </w:t>
      </w:r>
      <w:r w:rsidR="002849F6" w:rsidRPr="002849F6">
        <w:rPr>
          <w:b/>
          <w:bCs/>
        </w:rPr>
        <w:t xml:space="preserve">MNB </w:t>
      </w:r>
      <w:r w:rsidRPr="00EB55A1">
        <w:rPr>
          <w:b/>
        </w:rPr>
        <w:t>é</w:t>
      </w:r>
      <w:r w:rsidRPr="00A07F4E">
        <w:rPr>
          <w:b/>
          <w:bCs/>
        </w:rPr>
        <w:t xml:space="preserve">rtékelése alapján a pénzügyi szolgáltatói szektor Mérsékelten jelentős inherens kockázati értékkel rendelkezik, amely megegyezik az </w:t>
      </w:r>
      <w:proofErr w:type="spellStart"/>
      <w:r w:rsidRPr="00A07F4E">
        <w:rPr>
          <w:b/>
          <w:bCs/>
        </w:rPr>
        <w:t>EBA</w:t>
      </w:r>
      <w:proofErr w:type="spellEnd"/>
      <w:r w:rsidRPr="00A07F4E">
        <w:rPr>
          <w:b/>
          <w:bCs/>
        </w:rPr>
        <w:t xml:space="preserve"> </w:t>
      </w:r>
      <w:proofErr w:type="spellStart"/>
      <w:r w:rsidRPr="00A07F4E">
        <w:rPr>
          <w:b/>
          <w:bCs/>
        </w:rPr>
        <w:t>Opinion</w:t>
      </w:r>
      <w:proofErr w:type="spellEnd"/>
      <w:r w:rsidRPr="00A07F4E">
        <w:rPr>
          <w:b/>
          <w:bCs/>
        </w:rPr>
        <w:t xml:space="preserve"> összegzése szerinti, több illetékes hatóság értékelésével.</w:t>
      </w:r>
      <w:r w:rsidRPr="00A07F4E">
        <w:t xml:space="preserve"> </w:t>
      </w:r>
    </w:p>
    <w:tbl>
      <w:tblPr>
        <w:tblW w:w="4040" w:type="dxa"/>
        <w:jc w:val="center"/>
        <w:tblCellMar>
          <w:left w:w="70" w:type="dxa"/>
          <w:right w:w="70" w:type="dxa"/>
        </w:tblCellMar>
        <w:tblLook w:val="04A0" w:firstRow="1" w:lastRow="0" w:firstColumn="1" w:lastColumn="0" w:noHBand="0" w:noVBand="1"/>
      </w:tblPr>
      <w:tblGrid>
        <w:gridCol w:w="2140"/>
        <w:gridCol w:w="1900"/>
      </w:tblGrid>
      <w:tr w:rsidR="00A13F02" w:rsidRPr="00A07F4E" w14:paraId="41C7DB23" w14:textId="77777777" w:rsidTr="00A13F02">
        <w:trPr>
          <w:trHeight w:val="300"/>
          <w:jc w:val="center"/>
        </w:trPr>
        <w:tc>
          <w:tcPr>
            <w:tcW w:w="2140" w:type="dxa"/>
            <w:tcBorders>
              <w:top w:val="nil"/>
              <w:left w:val="nil"/>
              <w:bottom w:val="nil"/>
              <w:right w:val="nil"/>
            </w:tcBorders>
            <w:shd w:val="clear" w:color="auto" w:fill="auto"/>
            <w:noWrap/>
            <w:vAlign w:val="center"/>
            <w:hideMark/>
          </w:tcPr>
          <w:p w14:paraId="162CEB2E" w14:textId="77777777" w:rsidR="00A13F02" w:rsidRPr="00A07F4E" w:rsidRDefault="00A13F02" w:rsidP="00A13F02">
            <w:pPr>
              <w:spacing w:after="0" w:line="240" w:lineRule="auto"/>
              <w:jc w:val="center"/>
              <w:rPr>
                <w:rFonts w:eastAsia="Times New Roman" w:cs="Calibri"/>
                <w:b/>
                <w:bCs/>
                <w:color w:val="000000"/>
              </w:rPr>
            </w:pPr>
            <w:r w:rsidRPr="00A07F4E">
              <w:rPr>
                <w:rFonts w:eastAsia="Times New Roman" w:cs="Calibri"/>
                <w:b/>
                <w:bCs/>
                <w:color w:val="000000"/>
              </w:rPr>
              <w:t>Inherens kockázat:</w:t>
            </w:r>
            <w:r w:rsidRPr="00A07F4E">
              <w:rPr>
                <w:rFonts w:eastAsia="Times New Roman" w:cs="Calibri"/>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46F8E9" w14:textId="77777777" w:rsidR="00A13F02" w:rsidRPr="00A07F4E" w:rsidRDefault="00A13F02" w:rsidP="00A13F02">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bl>
    <w:p w14:paraId="2B2E950C" w14:textId="77777777" w:rsidR="00282E68" w:rsidRPr="00A07F4E" w:rsidRDefault="00282E68" w:rsidP="00A07F4E">
      <w:pPr>
        <w:pStyle w:val="Cmsor3"/>
        <w:numPr>
          <w:ilvl w:val="0"/>
          <w:numId w:val="138"/>
        </w:numPr>
      </w:pPr>
      <w:bookmarkStart w:id="185" w:name="_Toc109906060"/>
      <w:r w:rsidRPr="00A07F4E">
        <w:t>Az ellenőrzések minősége</w:t>
      </w:r>
      <w:bookmarkEnd w:id="185"/>
    </w:p>
    <w:p w14:paraId="3518C434" w14:textId="4806A16A" w:rsidR="001F7518" w:rsidRPr="00A07F4E" w:rsidRDefault="001F7518" w:rsidP="00931AA9">
      <w:r w:rsidRPr="008037B7">
        <w:t>A</w:t>
      </w:r>
      <w:r w:rsidR="008037B7" w:rsidRPr="008037B7">
        <w:t>z MNB</w:t>
      </w:r>
      <w:r w:rsidRPr="00A07F4E">
        <w:t xml:space="preserve"> </w:t>
      </w:r>
      <w:r w:rsidRPr="00EB55A1">
        <w:t>a</w:t>
      </w:r>
      <w:r w:rsidR="006C4558" w:rsidRPr="00A07F4E">
        <w:t xml:space="preserve">z életbiztosítók </w:t>
      </w:r>
      <w:r w:rsidR="0041629D" w:rsidRPr="00A07F4E">
        <w:t xml:space="preserve">általi </w:t>
      </w:r>
      <w:r w:rsidR="001874A5" w:rsidRPr="00A07F4E">
        <w:t xml:space="preserve">ellenőrzések megfelelőségét és minőségét értékelte, amely alapján </w:t>
      </w:r>
      <w:r w:rsidR="008C1A55">
        <w:t>a szolgáltatók</w:t>
      </w:r>
      <w:r w:rsidRPr="00A07F4E">
        <w:t xml:space="preserve"> egészére kiterjedő, az egyes üzleti kapcsolatokra alkalmazott kockázatértékelést minősítette gyengének, az ML/</w:t>
      </w:r>
      <w:proofErr w:type="spellStart"/>
      <w:r w:rsidRPr="00A07F4E">
        <w:t>TF</w:t>
      </w:r>
      <w:proofErr w:type="spellEnd"/>
      <w:r w:rsidRPr="00A07F4E">
        <w:t xml:space="preserve"> kockázatok ismeretét, beleértve a személyzet </w:t>
      </w:r>
      <w:proofErr w:type="spellStart"/>
      <w:r w:rsidRPr="00A07F4E">
        <w:t>AML</w:t>
      </w:r>
      <w:proofErr w:type="spellEnd"/>
      <w:r w:rsidRPr="00A07F4E">
        <w:t>/</w:t>
      </w:r>
      <w:proofErr w:type="spellStart"/>
      <w:r w:rsidRPr="00A07F4E">
        <w:t>CFT</w:t>
      </w:r>
      <w:proofErr w:type="spellEnd"/>
      <w:r w:rsidRPr="00A07F4E">
        <w:t xml:space="preserve"> képzésének elérhetőségét és hatékonyságát, valamint a nyilvántartási politikák és eljárások megfelelőségét értékelte nagyon jónak, míg a többi értékelési szempontot jó minősítést kapott. </w:t>
      </w:r>
      <w:r w:rsidR="00460944" w:rsidRPr="00A07F4E">
        <w:rPr>
          <w:rStyle w:val="Lbjegyzet-hivatkozs"/>
        </w:rPr>
        <w:footnoteReference w:id="25"/>
      </w:r>
    </w:p>
    <w:p w14:paraId="122BC660" w14:textId="70AFB0B3" w:rsidR="00931AA9" w:rsidRPr="00A07F4E" w:rsidRDefault="00282E68" w:rsidP="00931AA9">
      <w:r w:rsidRPr="00A07F4E">
        <w:t xml:space="preserve">Az </w:t>
      </w:r>
      <w:proofErr w:type="spellStart"/>
      <w:r w:rsidRPr="00A07F4E">
        <w:t>EBA</w:t>
      </w:r>
      <w:proofErr w:type="spellEnd"/>
      <w:r w:rsidRPr="00A07F4E">
        <w:t xml:space="preserve"> </w:t>
      </w:r>
      <w:proofErr w:type="spellStart"/>
      <w:r w:rsidRPr="00A07F4E">
        <w:t>Opinion</w:t>
      </w:r>
      <w:proofErr w:type="spellEnd"/>
      <w:r w:rsidR="008037B7">
        <w:t xml:space="preserve"> alapján</w:t>
      </w:r>
      <w:r w:rsidRPr="00A07F4E">
        <w:t xml:space="preserve"> </w:t>
      </w:r>
      <w:r w:rsidR="00931AA9" w:rsidRPr="00A07F4E">
        <w:t xml:space="preserve">az ágazatban működő </w:t>
      </w:r>
      <w:r w:rsidR="008C1A55">
        <w:t>szolgáltatók</w:t>
      </w:r>
      <w:r w:rsidR="00931AA9" w:rsidRPr="00A07F4E">
        <w:t xml:space="preserve"> által bevezetett ellenőrzéseket </w:t>
      </w:r>
      <w:r w:rsidR="00CA01CE" w:rsidRPr="00A07F4E">
        <w:t xml:space="preserve">a </w:t>
      </w:r>
      <w:r w:rsidR="008037B7">
        <w:t>külföldi</w:t>
      </w:r>
      <w:r w:rsidR="00CA01CE" w:rsidRPr="00A07F4E">
        <w:t xml:space="preserve"> </w:t>
      </w:r>
      <w:r w:rsidR="00931AA9" w:rsidRPr="00A07F4E">
        <w:t xml:space="preserve">hatóságok többsége jónak minősítette. A </w:t>
      </w:r>
      <w:r w:rsidR="008037B7">
        <w:t>külföldi</w:t>
      </w:r>
      <w:r w:rsidR="00931AA9" w:rsidRPr="00A07F4E">
        <w:t xml:space="preserve"> hatóságok viszonylag elégedettnek tűntek a politikákkal és eljárásokkal kapcsolatos ellenőrzések megfelelőségével, különösen az ügyfelek azonosításával és ellenőrzésével, valamint a nyilvántartások vezetésével. Aggodalmukat fejezték ki azonban néhány ellenőrzés hatékonyságával kapcsolatban, különösen a tranzakciók folyamatos </w:t>
      </w:r>
      <w:proofErr w:type="spellStart"/>
      <w:r w:rsidR="00931AA9" w:rsidRPr="00A07F4E">
        <w:t>monitoringjával</w:t>
      </w:r>
      <w:proofErr w:type="spellEnd"/>
      <w:r w:rsidR="00931AA9" w:rsidRPr="00A07F4E">
        <w:t xml:space="preserve"> és </w:t>
      </w:r>
      <w:r w:rsidR="00931AA9" w:rsidRPr="008A09BA">
        <w:t>a</w:t>
      </w:r>
      <w:r w:rsidR="00460944" w:rsidRPr="008A09BA">
        <w:t>z</w:t>
      </w:r>
      <w:r w:rsidR="00931AA9" w:rsidRPr="008A09BA">
        <w:t xml:space="preserve"> </w:t>
      </w:r>
      <w:r w:rsidR="002C73BD">
        <w:t>be</w:t>
      </w:r>
      <w:r w:rsidR="00931AA9" w:rsidRPr="008A09BA">
        <w:t>jelentéssel</w:t>
      </w:r>
      <w:r w:rsidR="00931AA9" w:rsidRPr="00A07F4E">
        <w:t xml:space="preserve"> kapcsolatos ellenőrzésekkel, valamint </w:t>
      </w:r>
      <w:r w:rsidR="001874A5" w:rsidRPr="00A07F4E">
        <w:t>– a</w:t>
      </w:r>
      <w:r w:rsidR="008037B7">
        <w:t>z MNB</w:t>
      </w:r>
      <w:r w:rsidR="008037B7" w:rsidRPr="008037B7">
        <w:t>-hez</w:t>
      </w:r>
      <w:r w:rsidR="001874A5" w:rsidRPr="00A07F4E">
        <w:t xml:space="preserve"> </w:t>
      </w:r>
      <w:r w:rsidR="001874A5" w:rsidRPr="00EB55A1">
        <w:t>hasonlóan</w:t>
      </w:r>
      <w:r w:rsidR="001874A5" w:rsidRPr="00A07F4E">
        <w:t xml:space="preserve"> – </w:t>
      </w:r>
      <w:r w:rsidR="00931AA9" w:rsidRPr="00A07F4E">
        <w:t xml:space="preserve">az egész </w:t>
      </w:r>
      <w:r w:rsidR="004023C2">
        <w:t>szolgáltatóra</w:t>
      </w:r>
      <w:r w:rsidR="004023C2" w:rsidRPr="00A07F4E">
        <w:t xml:space="preserve"> </w:t>
      </w:r>
      <w:r w:rsidR="00931AA9" w:rsidRPr="00A07F4E">
        <w:t>kiterjedő és az ügyfélkockázat kockázatértékelések minőségével kapcsolatban. Ez azzal magyarázható, hogy a biztosítók jellemzően kevesebb információt kapnak az ügyfelektől az üzleti kapcsolat kezdete után, mivel a tranzakciók gyakorisága és/vagy változékonysága ezt követően alacsonyabb, mint például a bankszektorban. Ezt azonban enyhítheti az a tény, hogy a tranzakciókat többnyire bankszámlákon keresztül bonyolítják le, amelyek általában hatékony ellenőrzésekkel vannak ellátva.</w:t>
      </w:r>
    </w:p>
    <w:p w14:paraId="34660F4B" w14:textId="77777777" w:rsidR="0029772D" w:rsidRPr="00A07F4E" w:rsidRDefault="0029772D" w:rsidP="00A07F4E">
      <w:pPr>
        <w:pStyle w:val="Cmsor3"/>
        <w:numPr>
          <w:ilvl w:val="0"/>
          <w:numId w:val="138"/>
        </w:numPr>
      </w:pPr>
      <w:bookmarkStart w:id="186" w:name="_Toc109906061"/>
      <w:r w:rsidRPr="00A07F4E">
        <w:t>Felügyeleti tevékenység</w:t>
      </w:r>
      <w:bookmarkEnd w:id="186"/>
    </w:p>
    <w:p w14:paraId="4A656F7C" w14:textId="02F8E2C4" w:rsidR="0029772D" w:rsidRPr="00A07F4E" w:rsidRDefault="0029772D" w:rsidP="0029772D">
      <w:r w:rsidRPr="00A07F4E">
        <w:t>A</w:t>
      </w:r>
      <w:r w:rsidR="00C5272B">
        <w:t>z MNB</w:t>
      </w:r>
      <w:r w:rsidR="00622282">
        <w:t xml:space="preserve"> </w:t>
      </w:r>
      <w:r w:rsidRPr="00A07F4E">
        <w:t xml:space="preserve">a szektor Mérsékelten jelentős inherens kockázati besorolására tekintettel kisebb hangsúlyt fektetett jelen szektor </w:t>
      </w:r>
      <w:proofErr w:type="spellStart"/>
      <w:r w:rsidR="00CA01CE" w:rsidRPr="00A07F4E">
        <w:t>on</w:t>
      </w:r>
      <w:proofErr w:type="spellEnd"/>
      <w:r w:rsidR="00CA01CE" w:rsidRPr="00A07F4E">
        <w:t xml:space="preserve">-site </w:t>
      </w:r>
      <w:r w:rsidRPr="00A07F4E">
        <w:t xml:space="preserve">ellenőrzésére. </w:t>
      </w:r>
      <w:r w:rsidR="008C1A55">
        <w:t>A szolgáltatók</w:t>
      </w:r>
      <w:r w:rsidRPr="00A07F4E">
        <w:t xml:space="preserve"> </w:t>
      </w:r>
      <w:r w:rsidR="00C5272B">
        <w:t>MNB</w:t>
      </w:r>
      <w:r w:rsidR="00C5272B" w:rsidRPr="00A07F4E">
        <w:t xml:space="preserve"> </w:t>
      </w:r>
      <w:r w:rsidR="0028435F" w:rsidRPr="00A07F4E">
        <w:t xml:space="preserve">általi </w:t>
      </w:r>
      <w:r w:rsidRPr="00A07F4E">
        <w:t>ellenőrzésére</w:t>
      </w:r>
      <w:r w:rsidR="00CA01CE" w:rsidRPr="00A07F4E">
        <w:t xml:space="preserve"> </w:t>
      </w:r>
      <w:proofErr w:type="spellStart"/>
      <w:r w:rsidR="00CA01CE" w:rsidRPr="00A07F4E">
        <w:t>off</w:t>
      </w:r>
      <w:proofErr w:type="spellEnd"/>
      <w:r w:rsidR="00CA01CE" w:rsidRPr="00A07F4E">
        <w:t xml:space="preserve">-site vizsgálatokban az </w:t>
      </w:r>
      <w:r w:rsidRPr="00A07F4E">
        <w:t xml:space="preserve">éves és negyedéves adatszolgáltatás </w:t>
      </w:r>
      <w:r w:rsidR="00CA01CE" w:rsidRPr="00A07F4E">
        <w:t xml:space="preserve">felhasználásával </w:t>
      </w:r>
      <w:r w:rsidRPr="00A07F4E">
        <w:t>kerül sor</w:t>
      </w:r>
      <w:r w:rsidR="00CA01CE" w:rsidRPr="00A07F4E">
        <w:t xml:space="preserve"> folyamatos felügyelés keretében</w:t>
      </w:r>
      <w:r w:rsidRPr="00A07F4E">
        <w:t xml:space="preserve">. </w:t>
      </w:r>
      <w:r w:rsidR="00460944" w:rsidRPr="009F3A30">
        <w:t>A</w:t>
      </w:r>
      <w:r w:rsidR="00C5272B">
        <w:t>z MNB</w:t>
      </w:r>
      <w:r w:rsidR="00622282">
        <w:t xml:space="preserve"> </w:t>
      </w:r>
      <w:r w:rsidR="00460944" w:rsidRPr="009F3A30">
        <w:t>az életbiztosítói szektort az ügyfelektől, illetve társhatóságoktól érkező panaszok és sajtófigyelés során szerzett információk alapján felügyeli, felmerülő kockázati jelzés alapján ellenőrzi.</w:t>
      </w:r>
    </w:p>
    <w:p w14:paraId="3072CD93" w14:textId="77777777" w:rsidR="008C54C5" w:rsidRPr="00A07F4E" w:rsidRDefault="008C54C5" w:rsidP="00A07F4E">
      <w:pPr>
        <w:pStyle w:val="Cmsor3"/>
        <w:numPr>
          <w:ilvl w:val="0"/>
          <w:numId w:val="138"/>
        </w:numPr>
      </w:pPr>
      <w:bookmarkStart w:id="187" w:name="_Toc109906062"/>
      <w:r w:rsidRPr="00A07F4E">
        <w:t>Azonosított jogsértések</w:t>
      </w:r>
      <w:bookmarkEnd w:id="187"/>
    </w:p>
    <w:p w14:paraId="239F5A06" w14:textId="345CECA7" w:rsidR="00931AA9" w:rsidRDefault="008C54C5" w:rsidP="00282E68">
      <w:r w:rsidRPr="00A07F4E">
        <w:t>A</w:t>
      </w:r>
      <w:r w:rsidR="00453558">
        <w:t>z MNB</w:t>
      </w:r>
      <w:r w:rsidRPr="00A07F4E">
        <w:t xml:space="preserve"> </w:t>
      </w:r>
      <w:r w:rsidR="008C1A55">
        <w:t>a szolgáltatók</w:t>
      </w:r>
      <w:r w:rsidRPr="00A07F4E">
        <w:t xml:space="preserve"> felügyelete során az ügyfelek kockázatértékelésével, a gyanús tranzakciók jelentésével, valamint az oktatással és a tudatossággal kapcsolatban azonosított. </w:t>
      </w:r>
      <w:r w:rsidRPr="00EB55A1">
        <w:t>A</w:t>
      </w:r>
      <w:r w:rsidR="00993B96" w:rsidRPr="00EB55A1">
        <w:t>z MNB</w:t>
      </w:r>
      <w:r w:rsidRPr="00A07F4E">
        <w:t xml:space="preserve"> által alkalmazott intézkedések a szektorhoz tartozó </w:t>
      </w:r>
      <w:r w:rsidR="008C1A55">
        <w:lastRenderedPageBreak/>
        <w:t>szolgáltatók</w:t>
      </w:r>
      <w:r w:rsidRPr="00A07F4E">
        <w:t xml:space="preserve"> esetében jellemzően a megfelelési, meghatározott intézkedések végrehajtására vonatkozó utasítások, valamint helyreállítási terv bevezetésére vonatkozó kötelezés</w:t>
      </w:r>
      <w:r w:rsidR="00D63F2A" w:rsidRPr="00A07F4E">
        <w:t>ek</w:t>
      </w:r>
      <w:r w:rsidRPr="00A07F4E">
        <w:t xml:space="preserve"> voltak. A hatóságok felügyeleti tevékenységeik eredményeként azonosított jogsértések típusa főként a belső kontrollokhoz és az általános </w:t>
      </w:r>
      <w:proofErr w:type="spellStart"/>
      <w:r w:rsidRPr="00A07F4E">
        <w:t>AML</w:t>
      </w:r>
      <w:proofErr w:type="spellEnd"/>
      <w:r w:rsidRPr="00A07F4E">
        <w:t>/</w:t>
      </w:r>
      <w:proofErr w:type="spellStart"/>
      <w:r w:rsidRPr="00A07F4E">
        <w:t>CFT</w:t>
      </w:r>
      <w:proofErr w:type="spellEnd"/>
      <w:r w:rsidRPr="00A07F4E">
        <w:t xml:space="preserve"> politikákhoz és eljárásokhoz, az ügyfelek és az egész </w:t>
      </w:r>
      <w:r w:rsidR="004023C2">
        <w:t>szolgáltatóra</w:t>
      </w:r>
      <w:r w:rsidR="004023C2" w:rsidRPr="00A07F4E">
        <w:t xml:space="preserve"> </w:t>
      </w:r>
      <w:r w:rsidRPr="00A07F4E">
        <w:t>kiterjedő kockázatértékelésekhez, valamint az ügyfelek azonosításához és ellenőrzéséhez kapcsolódott.</w:t>
      </w:r>
    </w:p>
    <w:p w14:paraId="7979F43C" w14:textId="77777777" w:rsidR="00697F28" w:rsidRPr="00A07F4E" w:rsidRDefault="00697F28" w:rsidP="00A07F4E">
      <w:pPr>
        <w:pStyle w:val="Cmsor3"/>
        <w:numPr>
          <w:ilvl w:val="0"/>
          <w:numId w:val="138"/>
        </w:numPr>
      </w:pPr>
      <w:bookmarkStart w:id="188" w:name="_Toc106869599"/>
      <w:bookmarkStart w:id="189" w:name="_Toc107236464"/>
      <w:bookmarkStart w:id="190" w:name="_Toc107237372"/>
      <w:bookmarkStart w:id="191" w:name="_Toc107237698"/>
      <w:bookmarkStart w:id="192" w:name="_Toc106869600"/>
      <w:bookmarkStart w:id="193" w:name="_Toc107236465"/>
      <w:bookmarkStart w:id="194" w:name="_Toc107237373"/>
      <w:bookmarkStart w:id="195" w:name="_Toc107237699"/>
      <w:bookmarkStart w:id="196" w:name="_Toc106869601"/>
      <w:bookmarkStart w:id="197" w:name="_Toc107236466"/>
      <w:bookmarkStart w:id="198" w:name="_Toc107237374"/>
      <w:bookmarkStart w:id="199" w:name="_Toc107237700"/>
      <w:bookmarkStart w:id="200" w:name="_Toc106869602"/>
      <w:bookmarkStart w:id="201" w:name="_Toc107236467"/>
      <w:bookmarkStart w:id="202" w:name="_Toc107237375"/>
      <w:bookmarkStart w:id="203" w:name="_Toc107237701"/>
      <w:bookmarkStart w:id="204" w:name="_Toc106869603"/>
      <w:bookmarkStart w:id="205" w:name="_Toc107236468"/>
      <w:bookmarkStart w:id="206" w:name="_Toc107237376"/>
      <w:bookmarkStart w:id="207" w:name="_Toc107237702"/>
      <w:bookmarkStart w:id="208" w:name="_Toc106869604"/>
      <w:bookmarkStart w:id="209" w:name="_Toc107236469"/>
      <w:bookmarkStart w:id="210" w:name="_Toc107237377"/>
      <w:bookmarkStart w:id="211" w:name="_Toc107237703"/>
      <w:bookmarkStart w:id="212" w:name="_Toc106869605"/>
      <w:bookmarkStart w:id="213" w:name="_Toc107236470"/>
      <w:bookmarkStart w:id="214" w:name="_Toc107237378"/>
      <w:bookmarkStart w:id="215" w:name="_Toc107237704"/>
      <w:bookmarkStart w:id="216" w:name="_Toc106869609"/>
      <w:bookmarkStart w:id="217" w:name="_Toc107236474"/>
      <w:bookmarkStart w:id="218" w:name="_Toc107237382"/>
      <w:bookmarkStart w:id="219" w:name="_Toc107237708"/>
      <w:bookmarkStart w:id="220" w:name="_Toc106869610"/>
      <w:bookmarkStart w:id="221" w:name="_Toc107236475"/>
      <w:bookmarkStart w:id="222" w:name="_Toc107237383"/>
      <w:bookmarkStart w:id="223" w:name="_Toc107237709"/>
      <w:bookmarkStart w:id="224" w:name="_Toc106869611"/>
      <w:bookmarkStart w:id="225" w:name="_Toc107236476"/>
      <w:bookmarkStart w:id="226" w:name="_Toc107237384"/>
      <w:bookmarkStart w:id="227" w:name="_Toc107237710"/>
      <w:bookmarkStart w:id="228" w:name="_Toc106869615"/>
      <w:bookmarkStart w:id="229" w:name="_Toc107236480"/>
      <w:bookmarkStart w:id="230" w:name="_Toc107237388"/>
      <w:bookmarkStart w:id="231" w:name="_Toc107237714"/>
      <w:bookmarkStart w:id="232" w:name="_Toc106869616"/>
      <w:bookmarkStart w:id="233" w:name="_Toc107236481"/>
      <w:bookmarkStart w:id="234" w:name="_Toc107237389"/>
      <w:bookmarkStart w:id="235" w:name="_Toc107237715"/>
      <w:bookmarkStart w:id="236" w:name="_Toc106869617"/>
      <w:bookmarkStart w:id="237" w:name="_Toc107236482"/>
      <w:bookmarkStart w:id="238" w:name="_Toc107237390"/>
      <w:bookmarkStart w:id="239" w:name="_Toc107237716"/>
      <w:bookmarkStart w:id="240" w:name="_Toc106869618"/>
      <w:bookmarkStart w:id="241" w:name="_Toc107236483"/>
      <w:bookmarkStart w:id="242" w:name="_Toc107237391"/>
      <w:bookmarkStart w:id="243" w:name="_Toc107237717"/>
      <w:bookmarkStart w:id="244" w:name="_Toc106869619"/>
      <w:bookmarkStart w:id="245" w:name="_Toc107236484"/>
      <w:bookmarkStart w:id="246" w:name="_Toc107237392"/>
      <w:bookmarkStart w:id="247" w:name="_Toc107237718"/>
      <w:bookmarkStart w:id="248" w:name="_Toc106869620"/>
      <w:bookmarkStart w:id="249" w:name="_Toc107236485"/>
      <w:bookmarkStart w:id="250" w:name="_Toc107237393"/>
      <w:bookmarkStart w:id="251" w:name="_Toc107237719"/>
      <w:bookmarkStart w:id="252" w:name="_Toc106869624"/>
      <w:bookmarkStart w:id="253" w:name="_Toc107236489"/>
      <w:bookmarkStart w:id="254" w:name="_Toc107237397"/>
      <w:bookmarkStart w:id="255" w:name="_Toc107237723"/>
      <w:bookmarkStart w:id="256" w:name="_Toc106869625"/>
      <w:bookmarkStart w:id="257" w:name="_Toc107236490"/>
      <w:bookmarkStart w:id="258" w:name="_Toc107237398"/>
      <w:bookmarkStart w:id="259" w:name="_Toc107237724"/>
      <w:bookmarkStart w:id="260" w:name="_Toc106869626"/>
      <w:bookmarkStart w:id="261" w:name="_Toc107236491"/>
      <w:bookmarkStart w:id="262" w:name="_Toc107237399"/>
      <w:bookmarkStart w:id="263" w:name="_Toc107237725"/>
      <w:bookmarkStart w:id="264" w:name="_Toc106869630"/>
      <w:bookmarkStart w:id="265" w:name="_Toc107236495"/>
      <w:bookmarkStart w:id="266" w:name="_Toc107237403"/>
      <w:bookmarkStart w:id="267" w:name="_Toc107237729"/>
      <w:bookmarkStart w:id="268" w:name="_Toc10990606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A07F4E">
        <w:t>Maradványkockázat</w:t>
      </w:r>
      <w:bookmarkEnd w:id="268"/>
    </w:p>
    <w:p w14:paraId="569BA572" w14:textId="156A7D38" w:rsidR="00697F28" w:rsidRPr="00A07F4E" w:rsidRDefault="00697F28" w:rsidP="00697F28">
      <w:r w:rsidRPr="00EB55A1">
        <w:t>A</w:t>
      </w:r>
      <w:r w:rsidR="002849F6" w:rsidRPr="00EB55A1">
        <w:t>z MNB</w:t>
      </w:r>
      <w:r w:rsidRPr="00A07F4E">
        <w:t xml:space="preserve"> mérlegelve a szektornál részletezetteket a maradványkockázatot Mérsékelten jelentős</w:t>
      </w:r>
      <w:r w:rsidR="006E4EE8">
        <w:t>nek</w:t>
      </w:r>
      <w:r w:rsidRPr="00A07F4E">
        <w:t xml:space="preserve"> értékeli. Megállapítható, hogy a biztosítási szektorban rejlő inherens kockázati besorolás megegyezik a maradványkockázattal.</w:t>
      </w:r>
    </w:p>
    <w:tbl>
      <w:tblPr>
        <w:tblW w:w="4040" w:type="dxa"/>
        <w:jc w:val="center"/>
        <w:tblCellMar>
          <w:left w:w="70" w:type="dxa"/>
          <w:right w:w="70" w:type="dxa"/>
        </w:tblCellMar>
        <w:tblLook w:val="04A0" w:firstRow="1" w:lastRow="0" w:firstColumn="1" w:lastColumn="0" w:noHBand="0" w:noVBand="1"/>
      </w:tblPr>
      <w:tblGrid>
        <w:gridCol w:w="2140"/>
        <w:gridCol w:w="1900"/>
      </w:tblGrid>
      <w:tr w:rsidR="00697F28" w:rsidRPr="00A07F4E" w14:paraId="29C438D2" w14:textId="77777777" w:rsidTr="009F6E2C">
        <w:trPr>
          <w:trHeight w:val="300"/>
          <w:jc w:val="center"/>
        </w:trPr>
        <w:tc>
          <w:tcPr>
            <w:tcW w:w="2140" w:type="dxa"/>
            <w:tcBorders>
              <w:top w:val="nil"/>
              <w:left w:val="nil"/>
              <w:bottom w:val="nil"/>
              <w:right w:val="nil"/>
            </w:tcBorders>
            <w:shd w:val="clear" w:color="auto" w:fill="auto"/>
            <w:noWrap/>
            <w:vAlign w:val="center"/>
            <w:hideMark/>
          </w:tcPr>
          <w:p w14:paraId="2C26E5CD" w14:textId="77777777" w:rsidR="00697F28" w:rsidRPr="00A07F4E" w:rsidRDefault="00697F28" w:rsidP="009F6E2C">
            <w:pPr>
              <w:spacing w:after="0" w:line="240" w:lineRule="auto"/>
              <w:jc w:val="center"/>
              <w:rPr>
                <w:rFonts w:eastAsia="Times New Roman" w:cs="Calibri"/>
                <w:b/>
                <w:bCs/>
                <w:color w:val="000000"/>
              </w:rPr>
            </w:pPr>
            <w:r w:rsidRPr="00A07F4E">
              <w:rPr>
                <w:rFonts w:eastAsia="Times New Roman" w:cs="Calibri"/>
                <w:b/>
                <w:bCs/>
                <w:color w:val="000000"/>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4AA5B6" w14:textId="77777777" w:rsidR="00697F28" w:rsidRPr="00A07F4E" w:rsidRDefault="00697F28" w:rsidP="009F6E2C">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bl>
    <w:p w14:paraId="7B6CABF0" w14:textId="1FD21568" w:rsidR="00931AA9" w:rsidRPr="00A07F4E" w:rsidRDefault="00842BE4" w:rsidP="00EB55A1">
      <w:pPr>
        <w:pStyle w:val="Cmsor2"/>
      </w:pPr>
      <w:bookmarkStart w:id="269" w:name="_Toc107237731"/>
      <w:bookmarkStart w:id="270" w:name="_Toc109906064"/>
      <w:bookmarkStart w:id="271" w:name="_Hlk71119125"/>
      <w:bookmarkEnd w:id="269"/>
      <w:r w:rsidRPr="00A07F4E">
        <w:t>Életbiztosítás közvetítő</w:t>
      </w:r>
      <w:bookmarkEnd w:id="270"/>
    </w:p>
    <w:p w14:paraId="130D0E27" w14:textId="77777777" w:rsidR="00C66A72" w:rsidRPr="00A07F4E" w:rsidRDefault="00C66A72" w:rsidP="00A07F4E">
      <w:pPr>
        <w:pStyle w:val="Cmsor3"/>
        <w:numPr>
          <w:ilvl w:val="0"/>
          <w:numId w:val="146"/>
        </w:numPr>
      </w:pPr>
      <w:bookmarkStart w:id="272" w:name="_Toc109906065"/>
      <w:r w:rsidRPr="00A07F4E">
        <w:t>A szektor méretére, tevékenységi körére és összetettségére vonatkozó információk összesített formában</w:t>
      </w:r>
      <w:bookmarkEnd w:id="272"/>
    </w:p>
    <w:p w14:paraId="76E49A4C" w14:textId="5FF1897D" w:rsidR="00C66A72" w:rsidRPr="00A07F4E" w:rsidRDefault="00C66A72" w:rsidP="00C66A72">
      <w:r w:rsidRPr="00A07F4E">
        <w:t>A</w:t>
      </w:r>
      <w:r w:rsidR="0087472B">
        <w:t>z MNB</w:t>
      </w:r>
      <w:r w:rsidRPr="00A07F4E">
        <w:t xml:space="preserve"> Magyarországon </w:t>
      </w:r>
      <w:proofErr w:type="spellStart"/>
      <w:r w:rsidRPr="00A07F4E">
        <w:t>AML</w:t>
      </w:r>
      <w:proofErr w:type="spellEnd"/>
      <w:r w:rsidRPr="00A07F4E">
        <w:t>/</w:t>
      </w:r>
      <w:proofErr w:type="spellStart"/>
      <w:r w:rsidRPr="00A07F4E">
        <w:t>CFT</w:t>
      </w:r>
      <w:proofErr w:type="spellEnd"/>
      <w:r w:rsidRPr="00A07F4E">
        <w:t xml:space="preserve"> felügyeletet összesen </w:t>
      </w:r>
      <w:r w:rsidR="0025361E" w:rsidRPr="00FC37B3">
        <w:t>3</w:t>
      </w:r>
      <w:r w:rsidR="008246A9">
        <w:t>8</w:t>
      </w:r>
      <w:r w:rsidR="0025361E" w:rsidRPr="00FC37B3">
        <w:t xml:space="preserve">0 </w:t>
      </w:r>
      <w:r w:rsidR="004D60F7" w:rsidRPr="00FC37B3">
        <w:t>és 4</w:t>
      </w:r>
      <w:r w:rsidR="0025361E" w:rsidRPr="00FC37B3">
        <w:t>2</w:t>
      </w:r>
      <w:r w:rsidR="004D60F7" w:rsidRPr="00FC37B3">
        <w:t>0 közötti számú</w:t>
      </w:r>
      <w:r w:rsidRPr="00FC37B3">
        <w:t xml:space="preserve"> </w:t>
      </w:r>
      <w:r w:rsidR="008E70EA" w:rsidRPr="008A09BA">
        <w:t>élet</w:t>
      </w:r>
      <w:r w:rsidRPr="008A09BA">
        <w:t>biztosít</w:t>
      </w:r>
      <w:r w:rsidR="008E70EA" w:rsidRPr="008A09BA">
        <w:t>ás</w:t>
      </w:r>
      <w:r w:rsidR="00AC56D3" w:rsidRPr="008A09BA">
        <w:t xml:space="preserve"> </w:t>
      </w:r>
      <w:r w:rsidR="00AC56D3" w:rsidRPr="00A07F4E">
        <w:t>közvetítő</w:t>
      </w:r>
      <w:r w:rsidRPr="00A07F4E">
        <w:t xml:space="preserve"> felett gyakorol. A</w:t>
      </w:r>
      <w:r w:rsidR="00AC56D3" w:rsidRPr="00A07F4E">
        <w:t xml:space="preserve"> közvetítők </w:t>
      </w:r>
      <w:r w:rsidRPr="00A07F4E">
        <w:t>biztosítás</w:t>
      </w:r>
      <w:r w:rsidR="00AC56D3" w:rsidRPr="00A07F4E">
        <w:t xml:space="preserve"> közvetítési tevékenységet </w:t>
      </w:r>
      <w:r w:rsidRPr="00A07F4E">
        <w:t xml:space="preserve">látnak el. </w:t>
      </w:r>
    </w:p>
    <w:p w14:paraId="3B00554A" w14:textId="339774CA" w:rsidR="00C66A72" w:rsidRDefault="00535CCE" w:rsidP="00C66A72">
      <w:pPr>
        <w:spacing w:before="120" w:after="120"/>
        <w:rPr>
          <w:rFonts w:cs="Times New Roman"/>
        </w:rPr>
      </w:pPr>
      <w:r w:rsidRPr="00A07F4E">
        <w:rPr>
          <w:rFonts w:cs="Times New Roman"/>
        </w:rPr>
        <w:t>A szektoron belül tevékenységi alapon, működés szerint</w:t>
      </w:r>
      <w:r w:rsidR="001727FE" w:rsidRPr="00A07F4E">
        <w:rPr>
          <w:rFonts w:cs="Times New Roman"/>
        </w:rPr>
        <w:t>, illetve földrajzi kitettséget is vizsgálva</w:t>
      </w:r>
      <w:r w:rsidRPr="00A07F4E">
        <w:rPr>
          <w:rFonts w:cs="Times New Roman"/>
        </w:rPr>
        <w:t xml:space="preserve"> három alszektor került </w:t>
      </w:r>
      <w:r w:rsidR="00726826" w:rsidRPr="00A07F4E">
        <w:rPr>
          <w:rFonts w:cs="Times New Roman"/>
        </w:rPr>
        <w:t>azonosításra az alábbiak szerint:</w:t>
      </w:r>
    </w:p>
    <w:p w14:paraId="16D4BF24" w14:textId="06510387" w:rsidR="00535CCE" w:rsidRPr="00A07F4E" w:rsidRDefault="00535CCE" w:rsidP="007A1308">
      <w:pPr>
        <w:pStyle w:val="Listaszerbekezds"/>
        <w:numPr>
          <w:ilvl w:val="0"/>
          <w:numId w:val="20"/>
        </w:numPr>
        <w:spacing w:after="0" w:line="240" w:lineRule="auto"/>
        <w:rPr>
          <w:rFonts w:cs="Times New Roman"/>
        </w:rPr>
      </w:pPr>
      <w:r w:rsidRPr="00A07F4E">
        <w:rPr>
          <w:rFonts w:cs="Times New Roman"/>
        </w:rPr>
        <w:t>Biztosítási alkusz</w:t>
      </w:r>
      <w:r w:rsidR="00751C63">
        <w:rPr>
          <w:rStyle w:val="Lbjegyzet-hivatkozs"/>
          <w:rFonts w:cs="Times New Roman"/>
        </w:rPr>
        <w:footnoteReference w:id="26"/>
      </w:r>
    </w:p>
    <w:p w14:paraId="7AB597F3" w14:textId="0A9A22C6" w:rsidR="00535CCE" w:rsidRPr="00A07F4E" w:rsidRDefault="00535CCE" w:rsidP="007A1308">
      <w:pPr>
        <w:pStyle w:val="Listaszerbekezds"/>
        <w:numPr>
          <w:ilvl w:val="0"/>
          <w:numId w:val="20"/>
        </w:numPr>
        <w:spacing w:after="0" w:line="240" w:lineRule="auto"/>
        <w:rPr>
          <w:rFonts w:cs="Times New Roman"/>
        </w:rPr>
      </w:pPr>
      <w:r w:rsidRPr="00A07F4E">
        <w:rPr>
          <w:rFonts w:cs="Times New Roman"/>
        </w:rPr>
        <w:t>Biztosítási többes ügynök</w:t>
      </w:r>
      <w:r w:rsidR="00751C63">
        <w:rPr>
          <w:rStyle w:val="Lbjegyzet-hivatkozs"/>
          <w:rFonts w:cs="Times New Roman"/>
        </w:rPr>
        <w:footnoteReference w:id="27"/>
      </w:r>
    </w:p>
    <w:p w14:paraId="2393373F" w14:textId="77777777" w:rsidR="00535CCE" w:rsidRPr="00A07F4E" w:rsidRDefault="00535CCE" w:rsidP="007A1308">
      <w:pPr>
        <w:pStyle w:val="Listaszerbekezds"/>
        <w:numPr>
          <w:ilvl w:val="0"/>
          <w:numId w:val="20"/>
        </w:numPr>
        <w:spacing w:after="0" w:line="240" w:lineRule="auto"/>
        <w:rPr>
          <w:rFonts w:cs="Times New Roman"/>
        </w:rPr>
      </w:pPr>
      <w:r w:rsidRPr="00A07F4E">
        <w:rPr>
          <w:rFonts w:cs="Times New Roman"/>
        </w:rPr>
        <w:t>Biztosításközvetítő fióktelep</w:t>
      </w:r>
    </w:p>
    <w:p w14:paraId="7950FD35" w14:textId="77777777" w:rsidR="00C66A72" w:rsidRPr="00A07F4E" w:rsidRDefault="00C66A72" w:rsidP="00A07F4E">
      <w:pPr>
        <w:pStyle w:val="Cmsor3"/>
        <w:numPr>
          <w:ilvl w:val="0"/>
          <w:numId w:val="146"/>
        </w:numPr>
      </w:pPr>
      <w:bookmarkStart w:id="273" w:name="_Toc107237734"/>
      <w:bookmarkStart w:id="274" w:name="_Toc107237735"/>
      <w:bookmarkStart w:id="275" w:name="_Toc107237736"/>
      <w:bookmarkStart w:id="276" w:name="_Toc109906066"/>
      <w:bookmarkEnd w:id="273"/>
      <w:bookmarkEnd w:id="274"/>
      <w:bookmarkEnd w:id="275"/>
      <w:r w:rsidRPr="00A07F4E">
        <w:t>Inherens kockázatértékelés</w:t>
      </w:r>
      <w:bookmarkEnd w:id="276"/>
    </w:p>
    <w:p w14:paraId="330ECB06" w14:textId="77777777" w:rsidR="00FF395F" w:rsidRPr="00A07F4E" w:rsidRDefault="00FF395F" w:rsidP="00A07F4E">
      <w:pPr>
        <w:pStyle w:val="Listaszerbekezds"/>
        <w:numPr>
          <w:ilvl w:val="1"/>
          <w:numId w:val="25"/>
        </w:numPr>
        <w:ind w:left="851" w:hanging="284"/>
      </w:pPr>
      <w:r w:rsidRPr="00A07F4E">
        <w:t>Az életbiztosítás közvetítői szektorban rejlő ML/</w:t>
      </w:r>
      <w:proofErr w:type="spellStart"/>
      <w:r w:rsidRPr="00A07F4E">
        <w:t>TF</w:t>
      </w:r>
      <w:proofErr w:type="spellEnd"/>
      <w:r w:rsidRPr="00A07F4E">
        <w:t xml:space="preserve"> kockázati tényezők</w:t>
      </w:r>
    </w:p>
    <w:p w14:paraId="5E1502A8" w14:textId="2798A047" w:rsidR="00751C63" w:rsidRDefault="00751C63" w:rsidP="00751C63">
      <w:r>
        <w:t xml:space="preserve">A termék/szolgáltatás, ügyfél, földrajzi, valamint értékesítési csatornához társítható kockázatok MNB általi értékelését az alábbi táblázat szemlélteti: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751C63" w:rsidRPr="003168BA" w14:paraId="6D6C4FC8" w14:textId="77777777" w:rsidTr="00EB55A1">
        <w:trPr>
          <w:trHeight w:val="213"/>
        </w:trPr>
        <w:tc>
          <w:tcPr>
            <w:tcW w:w="3061" w:type="dxa"/>
          </w:tcPr>
          <w:p w14:paraId="6713D0C1" w14:textId="77777777" w:rsidR="00751C63" w:rsidRPr="00554E41" w:rsidRDefault="00751C63"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7E3C6143" w14:textId="77777777" w:rsidR="00751C63" w:rsidRPr="00554E41" w:rsidRDefault="00751C63"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751C63" w:rsidRPr="003168BA" w14:paraId="65D3F974" w14:textId="77777777" w:rsidTr="00EB55A1">
        <w:tc>
          <w:tcPr>
            <w:tcW w:w="3061" w:type="dxa"/>
            <w:shd w:val="clear" w:color="auto" w:fill="auto"/>
          </w:tcPr>
          <w:p w14:paraId="6F3DA304" w14:textId="77777777" w:rsidR="00751C63" w:rsidRPr="00554E41" w:rsidRDefault="00751C63"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92D050"/>
          </w:tcPr>
          <w:p w14:paraId="2AA3B7EE" w14:textId="77777777" w:rsidR="00751C63" w:rsidRPr="00554E41" w:rsidRDefault="00751C63"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751C63" w14:paraId="79FBF049" w14:textId="77777777" w:rsidTr="00EB55A1">
        <w:tc>
          <w:tcPr>
            <w:tcW w:w="3061" w:type="dxa"/>
            <w:shd w:val="clear" w:color="auto" w:fill="auto"/>
          </w:tcPr>
          <w:p w14:paraId="1015C8BC" w14:textId="77777777" w:rsidR="00751C63" w:rsidRPr="00554E41" w:rsidRDefault="00751C63"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92D050"/>
          </w:tcPr>
          <w:p w14:paraId="2EC295DC" w14:textId="133E09B3" w:rsidR="00751C63" w:rsidRPr="00554E41" w:rsidRDefault="00751C63"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751C63" w14:paraId="5BA6DA96" w14:textId="77777777" w:rsidTr="00EB55A1">
        <w:trPr>
          <w:trHeight w:val="50"/>
        </w:trPr>
        <w:tc>
          <w:tcPr>
            <w:tcW w:w="3061" w:type="dxa"/>
            <w:shd w:val="clear" w:color="auto" w:fill="auto"/>
          </w:tcPr>
          <w:p w14:paraId="513E18C7" w14:textId="77777777" w:rsidR="00751C63" w:rsidRPr="00554E41" w:rsidRDefault="00751C63"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Földrajzi</w:t>
            </w:r>
          </w:p>
        </w:tc>
        <w:tc>
          <w:tcPr>
            <w:tcW w:w="3035" w:type="dxa"/>
            <w:shd w:val="clear" w:color="auto" w:fill="92D050"/>
          </w:tcPr>
          <w:p w14:paraId="564978A9" w14:textId="77777777" w:rsidR="00751C63" w:rsidRPr="00554E41" w:rsidRDefault="00751C63"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751C63" w14:paraId="76EF3F8F" w14:textId="77777777" w:rsidTr="00EB55A1">
        <w:tc>
          <w:tcPr>
            <w:tcW w:w="3061" w:type="dxa"/>
            <w:shd w:val="clear" w:color="auto" w:fill="auto"/>
          </w:tcPr>
          <w:p w14:paraId="2B1C9B9D" w14:textId="77777777" w:rsidR="00751C63" w:rsidRPr="00554E41" w:rsidRDefault="00751C63"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FFFF00"/>
          </w:tcPr>
          <w:p w14:paraId="038A97D4" w14:textId="5593DB66" w:rsidR="00751C63" w:rsidRPr="00554E41" w:rsidRDefault="00751C63"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bl>
    <w:p w14:paraId="11A9086A" w14:textId="77777777" w:rsidR="00751C63" w:rsidRPr="00A07F4E" w:rsidRDefault="00751C63" w:rsidP="00282E68"/>
    <w:p w14:paraId="6D6B1E21" w14:textId="0B5B7B54" w:rsidR="00582E30" w:rsidRPr="00A07F4E" w:rsidRDefault="00582E30" w:rsidP="00582E30">
      <w:r w:rsidRPr="00A07F4E">
        <w:t xml:space="preserve">Kockázatként került azonosításra az erőforrásalapú megközelítés jelenléte, illetve a </w:t>
      </w:r>
      <w:r w:rsidR="00751C63">
        <w:t xml:space="preserve">kockázatérzékenységi megközelítés gyakorlatának hiánya. </w:t>
      </w:r>
    </w:p>
    <w:p w14:paraId="416FC802" w14:textId="1C530FBA" w:rsidR="00582E30" w:rsidRPr="00A07F4E" w:rsidRDefault="00582E30" w:rsidP="00582E30">
      <w:r w:rsidRPr="00A07F4E">
        <w:t xml:space="preserve">Jelen szektorra is általánosságban elmondható, hogy a szektorhoz tartozó </w:t>
      </w:r>
      <w:r w:rsidR="008C1A55">
        <w:t>szolgáltatók</w:t>
      </w:r>
      <w:r w:rsidRPr="00A07F4E">
        <w:t xml:space="preserve"> </w:t>
      </w:r>
      <w:r w:rsidR="00B56AA3" w:rsidRPr="00A07F4E">
        <w:t xml:space="preserve">fejlesztendő </w:t>
      </w:r>
      <w:proofErr w:type="spellStart"/>
      <w:r w:rsidRPr="00A07F4E">
        <w:t>AML</w:t>
      </w:r>
      <w:proofErr w:type="spellEnd"/>
      <w:r w:rsidRPr="00A07F4E">
        <w:t xml:space="preserve"> tranzakció </w:t>
      </w:r>
      <w:proofErr w:type="spellStart"/>
      <w:r w:rsidRPr="00A07F4E">
        <w:t>monitoringgal</w:t>
      </w:r>
      <w:proofErr w:type="spellEnd"/>
      <w:r w:rsidRPr="00A07F4E">
        <w:t xml:space="preserve"> és gyanús ügyletek bejelentésére vonatkozó politikákkal és eljárásokkal rendelkeznek</w:t>
      </w:r>
      <w:r w:rsidR="00751C63">
        <w:t>, valamint felügyeleti</w:t>
      </w:r>
      <w:r w:rsidR="00B56AA3" w:rsidRPr="00A07F4E">
        <w:t xml:space="preserve"> </w:t>
      </w:r>
      <w:r w:rsidRPr="00A07F4E">
        <w:t xml:space="preserve">adatszolgáltatások teljesítése során </w:t>
      </w:r>
      <w:r w:rsidR="00B56AA3" w:rsidRPr="00A07F4E">
        <w:t xml:space="preserve">több esetben </w:t>
      </w:r>
      <w:r w:rsidRPr="00A07F4E">
        <w:t xml:space="preserve">nem megfelelő adatokat bocsátanak rendelkezésre. </w:t>
      </w:r>
    </w:p>
    <w:p w14:paraId="7858BD7B" w14:textId="77777777" w:rsidR="00582E30" w:rsidRPr="00A07F4E" w:rsidRDefault="00924E8D" w:rsidP="00282E68">
      <w:r w:rsidRPr="00A07F4E">
        <w:t>Jellemző a</w:t>
      </w:r>
      <w:r w:rsidR="00582E30" w:rsidRPr="00A07F4E">
        <w:t xml:space="preserve"> közvetítő és az üzleti kapcsolat többi szereplője közötti elégtelen együttműködés, kommunikáció, amely befolyásolja a hatékonyságot</w:t>
      </w:r>
      <w:r w:rsidRPr="00A07F4E">
        <w:t xml:space="preserve">, amely kockázatot növelő tényezőnek minősül. </w:t>
      </w:r>
    </w:p>
    <w:p w14:paraId="7F69FFD5" w14:textId="5128E70E" w:rsidR="008F513B" w:rsidRPr="00A07F4E" w:rsidRDefault="004B576C" w:rsidP="008F513B">
      <w:r>
        <w:t>Kockázatcsökkentő tényező, hogy a k</w:t>
      </w:r>
      <w:r w:rsidR="008F513B" w:rsidRPr="00A07F4E">
        <w:t>észpénz</w:t>
      </w:r>
      <w:r w:rsidR="0041629D" w:rsidRPr="00A07F4E">
        <w:t>es</w:t>
      </w:r>
      <w:r w:rsidR="008F513B" w:rsidRPr="00A07F4E">
        <w:t xml:space="preserve"> ügyletek nem jellemzőek és </w:t>
      </w:r>
      <w:r w:rsidR="00B154D8">
        <w:t>ez az ágazat</w:t>
      </w:r>
      <w:r w:rsidR="008F513B" w:rsidRPr="00A07F4E">
        <w:t xml:space="preserve"> csak más szektorok közreműködésével tud jelentős összegű ügyleteket lebonyolítani. </w:t>
      </w:r>
    </w:p>
    <w:p w14:paraId="20887ACD" w14:textId="2934F77A" w:rsidR="00582E30" w:rsidRPr="00A07F4E" w:rsidRDefault="00582E30" w:rsidP="00282E68">
      <w:r w:rsidRPr="00A07F4E">
        <w:lastRenderedPageBreak/>
        <w:t>Az életbiztos</w:t>
      </w:r>
      <w:r w:rsidR="00B07B08" w:rsidRPr="00A07F4E">
        <w:t xml:space="preserve">ítókkal </w:t>
      </w:r>
      <w:r w:rsidRPr="00A07F4E">
        <w:t xml:space="preserve">összehasonlítva </w:t>
      </w:r>
      <w:r w:rsidR="00B07B08" w:rsidRPr="00A07F4E">
        <w:t>a szektor</w:t>
      </w:r>
      <w:r w:rsidRPr="00A07F4E">
        <w:t xml:space="preserve"> közvetítőihez kapcsolódó ML/</w:t>
      </w:r>
      <w:proofErr w:type="spellStart"/>
      <w:r w:rsidRPr="00A07F4E">
        <w:t>TF</w:t>
      </w:r>
      <w:proofErr w:type="spellEnd"/>
      <w:r w:rsidRPr="00A07F4E">
        <w:t xml:space="preserve"> kockázat szintje alacsonyabb, mivel az </w:t>
      </w:r>
      <w:r w:rsidR="00B07B08" w:rsidRPr="00A07F4E">
        <w:t>közvetítők</w:t>
      </w:r>
      <w:r w:rsidRPr="00A07F4E">
        <w:t xml:space="preserve"> feladatai közé </w:t>
      </w:r>
      <w:r w:rsidR="004B576C">
        <w:t xml:space="preserve">jellemzően </w:t>
      </w:r>
      <w:r w:rsidRPr="00A07F4E">
        <w:t xml:space="preserve">nem tartozik az ügyfelektől származó kifizetések kezelése. Ennek ellenére </w:t>
      </w:r>
      <w:r w:rsidR="004B576C">
        <w:t xml:space="preserve">az </w:t>
      </w:r>
      <w:proofErr w:type="spellStart"/>
      <w:r w:rsidR="004B576C">
        <w:t>EBA</w:t>
      </w:r>
      <w:proofErr w:type="spellEnd"/>
      <w:r w:rsidR="004B576C">
        <w:t xml:space="preserve"> </w:t>
      </w:r>
      <w:proofErr w:type="spellStart"/>
      <w:r w:rsidR="004B576C">
        <w:t>Opinion</w:t>
      </w:r>
      <w:proofErr w:type="spellEnd"/>
      <w:r w:rsidR="004B576C">
        <w:t xml:space="preserve"> alapján</w:t>
      </w:r>
      <w:r w:rsidRPr="00A07F4E">
        <w:t xml:space="preserve"> több </w:t>
      </w:r>
      <w:r w:rsidR="004B576C">
        <w:t>külföldi</w:t>
      </w:r>
      <w:r w:rsidRPr="00A07F4E">
        <w:t xml:space="preserve"> </w:t>
      </w:r>
      <w:r w:rsidR="00B07B08" w:rsidRPr="00A07F4E">
        <w:t>hatóság jelezte</w:t>
      </w:r>
      <w:r w:rsidRPr="00A07F4E">
        <w:t xml:space="preserve">, hogy </w:t>
      </w:r>
      <w:r w:rsidR="00B07B08" w:rsidRPr="00A07F4E">
        <w:t>ez a szektor</w:t>
      </w:r>
      <w:r w:rsidRPr="00A07F4E">
        <w:t xml:space="preserve"> különösen "profitorientált" lehet a főként jutalékokon alapuló javadalmazási rendszere miatt. A</w:t>
      </w:r>
      <w:r w:rsidR="00B07B08" w:rsidRPr="00A07F4E">
        <w:t xml:space="preserve">z illetékes </w:t>
      </w:r>
      <w:r w:rsidR="004B576C">
        <w:t>külföldi</w:t>
      </w:r>
      <w:r w:rsidR="00B07B08" w:rsidRPr="00A07F4E">
        <w:t xml:space="preserve"> hatóságok </w:t>
      </w:r>
      <w:r w:rsidRPr="00A07F4E">
        <w:t xml:space="preserve">ezzel kapcsolatban megjegyezték, hogy fennáll a kockázata annak, hogy ennek következtében sérülhet a </w:t>
      </w:r>
      <w:proofErr w:type="spellStart"/>
      <w:r w:rsidRPr="00A07F4E">
        <w:t>pénzmosás</w:t>
      </w:r>
      <w:proofErr w:type="spellEnd"/>
      <w:r w:rsidRPr="00A07F4E">
        <w:t xml:space="preserve"> elleni küzdelemnek való megfelelés.</w:t>
      </w:r>
    </w:p>
    <w:p w14:paraId="2EDBDE05" w14:textId="76EFDD44" w:rsidR="00B07B08" w:rsidRDefault="00B07B08" w:rsidP="00282E68">
      <w:r w:rsidRPr="00A07F4E">
        <w:t xml:space="preserve">Az illetékes </w:t>
      </w:r>
      <w:r w:rsidR="004B576C">
        <w:t>külföldi</w:t>
      </w:r>
      <w:r w:rsidRPr="00A07F4E">
        <w:t xml:space="preserve"> hatóságok nagy része </w:t>
      </w:r>
      <w:r w:rsidR="00EF715A" w:rsidRPr="00A07F4E">
        <w:t>K</w:t>
      </w:r>
      <w:r w:rsidRPr="00A07F4E">
        <w:t>evésbé jelentősnek értékelte a földrajzi elhelyezkedéshez, az ügyfelekhez és a termékekhez/szolgáltatásokhoz kapcsolódó eredendő kockázati tényezőket a szektorban. A</w:t>
      </w:r>
      <w:r w:rsidR="009A0A38" w:rsidRPr="00A07F4E">
        <w:t>z értékesítési</w:t>
      </w:r>
      <w:r w:rsidRPr="00A07F4E">
        <w:t xml:space="preserve"> csatornákat több </w:t>
      </w:r>
      <w:r w:rsidR="009A0A38" w:rsidRPr="00A07F4E">
        <w:t xml:space="preserve">hatóság </w:t>
      </w:r>
      <w:r w:rsidR="009A0A38" w:rsidRPr="00EB55A1">
        <w:t xml:space="preserve">– </w:t>
      </w:r>
      <w:r w:rsidR="004B576C" w:rsidRPr="00EB55A1">
        <w:t>MNB</w:t>
      </w:r>
      <w:r w:rsidR="009A0A38" w:rsidRPr="00EB55A1">
        <w:t>-hez hasonlóan</w:t>
      </w:r>
      <w:r w:rsidR="009A0A38" w:rsidRPr="00A07F4E">
        <w:t xml:space="preserve"> –</w:t>
      </w:r>
      <w:r w:rsidRPr="00A07F4E">
        <w:t xml:space="preserve"> minősítette </w:t>
      </w:r>
      <w:r w:rsidR="00EF715A" w:rsidRPr="00A07F4E">
        <w:t>M</w:t>
      </w:r>
      <w:r w:rsidRPr="00A07F4E">
        <w:t>érsékelten jelentősnek. Ez annak tulajdonítható, hogy ebben az ágazatban megnőtt a nem személyes tevékenységek száma.</w:t>
      </w:r>
    </w:p>
    <w:p w14:paraId="43E12D99" w14:textId="77777777" w:rsidR="00FF395F" w:rsidRPr="00A07F4E" w:rsidRDefault="00FF395F" w:rsidP="00A07F4E">
      <w:pPr>
        <w:pStyle w:val="Listaszerbekezds"/>
        <w:numPr>
          <w:ilvl w:val="1"/>
          <w:numId w:val="25"/>
        </w:numPr>
        <w:ind w:left="851" w:hanging="284"/>
      </w:pPr>
      <w:r w:rsidRPr="00A07F4E">
        <w:t>Az életbiztosítás közvetítői szektorban rejlő, határokon átnyúló ML/</w:t>
      </w:r>
      <w:proofErr w:type="spellStart"/>
      <w:r w:rsidRPr="00A07F4E">
        <w:t>TF</w:t>
      </w:r>
      <w:proofErr w:type="spellEnd"/>
      <w:r w:rsidRPr="00A07F4E">
        <w:t xml:space="preserve"> kockázatok </w:t>
      </w:r>
    </w:p>
    <w:p w14:paraId="309F20DF" w14:textId="77777777" w:rsidR="00574F9E" w:rsidRPr="00A07F4E" w:rsidRDefault="00574F9E" w:rsidP="00574F9E">
      <w:r w:rsidRPr="00A07F4E">
        <w:t xml:space="preserve">A szektorra nem jellemző a külföldi érintettség, tipikusan magyar ügyfelekkel rendelkeznek a szektorhoz tartozó </w:t>
      </w:r>
      <w:r w:rsidR="008C1A55">
        <w:t>szolgáltatók</w:t>
      </w:r>
      <w:r w:rsidRPr="00A07F4E">
        <w:t xml:space="preserve">. </w:t>
      </w:r>
    </w:p>
    <w:p w14:paraId="63BCE021" w14:textId="4A2C78C1" w:rsidR="00FF395F" w:rsidRPr="00A07F4E" w:rsidRDefault="00FF395F" w:rsidP="00574F9E">
      <w:pPr>
        <w:rPr>
          <w:b/>
          <w:bCs/>
        </w:rPr>
      </w:pPr>
      <w:r w:rsidRPr="00A07F4E">
        <w:rPr>
          <w:b/>
          <w:bCs/>
        </w:rPr>
        <w:t>A</w:t>
      </w:r>
      <w:r w:rsidR="004B576C">
        <w:rPr>
          <w:b/>
          <w:bCs/>
        </w:rPr>
        <w:t xml:space="preserve">z </w:t>
      </w:r>
      <w:r w:rsidR="004B576C" w:rsidRPr="004B576C">
        <w:rPr>
          <w:b/>
          <w:bCs/>
        </w:rPr>
        <w:t>MNB</w:t>
      </w:r>
      <w:r w:rsidRPr="00EB55A1">
        <w:rPr>
          <w:b/>
        </w:rPr>
        <w:t xml:space="preserve"> értékelése</w:t>
      </w:r>
      <w:r w:rsidRPr="00A07F4E">
        <w:rPr>
          <w:b/>
          <w:bCs/>
        </w:rPr>
        <w:t xml:space="preserve"> alapján az életbiztosítás szektor Kevésbé jelentős inherens kockázati értékkel rendelkezik, amely megegyezik az </w:t>
      </w:r>
      <w:proofErr w:type="spellStart"/>
      <w:r w:rsidRPr="00A07F4E">
        <w:rPr>
          <w:b/>
          <w:bCs/>
        </w:rPr>
        <w:t>EBA</w:t>
      </w:r>
      <w:proofErr w:type="spellEnd"/>
      <w:r w:rsidRPr="00A07F4E">
        <w:rPr>
          <w:b/>
          <w:bCs/>
        </w:rPr>
        <w:t xml:space="preserve"> </w:t>
      </w:r>
      <w:proofErr w:type="spellStart"/>
      <w:r w:rsidRPr="00A07F4E">
        <w:rPr>
          <w:b/>
          <w:bCs/>
        </w:rPr>
        <w:t>Opinion</w:t>
      </w:r>
      <w:proofErr w:type="spellEnd"/>
      <w:r w:rsidRPr="00A07F4E">
        <w:rPr>
          <w:b/>
          <w:bCs/>
        </w:rPr>
        <w:t xml:space="preserve"> összegzése szerinti, </w:t>
      </w:r>
      <w:r w:rsidR="00BC222E">
        <w:rPr>
          <w:b/>
          <w:bCs/>
        </w:rPr>
        <w:t>legtöbb</w:t>
      </w:r>
      <w:r w:rsidR="00BC222E" w:rsidRPr="00A07F4E">
        <w:rPr>
          <w:b/>
          <w:bCs/>
        </w:rPr>
        <w:t xml:space="preserve"> </w:t>
      </w:r>
      <w:r w:rsidRPr="00A07F4E">
        <w:rPr>
          <w:b/>
          <w:bCs/>
        </w:rPr>
        <w:t>illetékes hatóság értékelésével.</w:t>
      </w:r>
    </w:p>
    <w:tbl>
      <w:tblPr>
        <w:tblW w:w="3680" w:type="dxa"/>
        <w:jc w:val="center"/>
        <w:tblCellMar>
          <w:left w:w="70" w:type="dxa"/>
          <w:right w:w="70" w:type="dxa"/>
        </w:tblCellMar>
        <w:tblLook w:val="04A0" w:firstRow="1" w:lastRow="0" w:firstColumn="1" w:lastColumn="0" w:noHBand="0" w:noVBand="1"/>
      </w:tblPr>
      <w:tblGrid>
        <w:gridCol w:w="1780"/>
        <w:gridCol w:w="1900"/>
      </w:tblGrid>
      <w:tr w:rsidR="00A57330" w:rsidRPr="00A07F4E" w14:paraId="638E4715" w14:textId="77777777" w:rsidTr="00A57330">
        <w:trPr>
          <w:trHeight w:val="300"/>
          <w:jc w:val="center"/>
        </w:trPr>
        <w:tc>
          <w:tcPr>
            <w:tcW w:w="1780" w:type="dxa"/>
            <w:tcBorders>
              <w:top w:val="nil"/>
              <w:left w:val="nil"/>
              <w:bottom w:val="nil"/>
              <w:right w:val="nil"/>
            </w:tcBorders>
            <w:shd w:val="clear" w:color="auto" w:fill="auto"/>
            <w:noWrap/>
            <w:vAlign w:val="center"/>
            <w:hideMark/>
          </w:tcPr>
          <w:p w14:paraId="5FEF3903" w14:textId="77777777" w:rsidR="00A57330" w:rsidRPr="00A07F4E" w:rsidRDefault="00A57330" w:rsidP="00A57330">
            <w:pPr>
              <w:spacing w:after="0" w:line="240" w:lineRule="auto"/>
              <w:jc w:val="center"/>
              <w:rPr>
                <w:rFonts w:eastAsia="Times New Roman" w:cs="Calibri"/>
                <w:b/>
                <w:bCs/>
                <w:color w:val="000000"/>
              </w:rPr>
            </w:pPr>
            <w:r w:rsidRPr="00A07F4E">
              <w:rPr>
                <w:rFonts w:eastAsia="Times New Roman" w:cs="Calibri"/>
                <w:b/>
                <w:bCs/>
                <w:color w:val="000000"/>
              </w:rPr>
              <w:t>Inherens kockázat:</w:t>
            </w:r>
            <w:r w:rsidRPr="00A07F4E">
              <w:rPr>
                <w:rFonts w:eastAsia="Times New Roman" w:cs="Calibri"/>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6B1EEC" w14:textId="77777777" w:rsidR="00A57330" w:rsidRPr="00A07F4E" w:rsidRDefault="00A57330" w:rsidP="00A57330">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r>
    </w:tbl>
    <w:p w14:paraId="6449DA80" w14:textId="77777777" w:rsidR="00A56F55" w:rsidRPr="00A07F4E" w:rsidRDefault="00A56F55" w:rsidP="00574F9E"/>
    <w:p w14:paraId="00505398" w14:textId="77777777" w:rsidR="00574F9E" w:rsidRPr="00A07F4E" w:rsidRDefault="00574F9E" w:rsidP="00A07F4E">
      <w:pPr>
        <w:pStyle w:val="Cmsor3"/>
        <w:numPr>
          <w:ilvl w:val="0"/>
          <w:numId w:val="146"/>
        </w:numPr>
      </w:pPr>
      <w:bookmarkStart w:id="277" w:name="_Toc109906067"/>
      <w:r w:rsidRPr="00A07F4E">
        <w:t>Az ellenőrzések minősége</w:t>
      </w:r>
      <w:bookmarkEnd w:id="277"/>
    </w:p>
    <w:p w14:paraId="24A3A1B2" w14:textId="2721684B" w:rsidR="00574F9E" w:rsidRPr="00A07F4E" w:rsidRDefault="00574F9E" w:rsidP="00574F9E">
      <w:r w:rsidRPr="00EB55A1">
        <w:t>A</w:t>
      </w:r>
      <w:r w:rsidR="004B576C" w:rsidRPr="00EB55A1">
        <w:t>z MNB</w:t>
      </w:r>
      <w:r w:rsidRPr="00A07F4E">
        <w:t xml:space="preserve"> a</w:t>
      </w:r>
      <w:r w:rsidR="00535CCE" w:rsidRPr="00A07F4E">
        <w:t>z</w:t>
      </w:r>
      <w:r w:rsidRPr="00A07F4E">
        <w:t xml:space="preserve"> </w:t>
      </w:r>
      <w:r w:rsidR="009C622E" w:rsidRPr="00A07F4E">
        <w:t>életbiztosítást közvetítők</w:t>
      </w:r>
      <w:r w:rsidRPr="00A07F4E">
        <w:t xml:space="preserve"> </w:t>
      </w:r>
      <w:r w:rsidR="0041629D" w:rsidRPr="00A07F4E">
        <w:t xml:space="preserve">általi </w:t>
      </w:r>
      <w:r w:rsidR="009C622E" w:rsidRPr="00A07F4E">
        <w:t xml:space="preserve">ellenőrzések megfelelőségét és minőségét értékelte, amely alapján </w:t>
      </w:r>
      <w:r w:rsidR="008C1A55">
        <w:t>a szolgáltatók</w:t>
      </w:r>
      <w:r w:rsidRPr="00A07F4E">
        <w:t xml:space="preserve"> egészére kiterjedő, az egyes üzleti kapcsolatokra alkalmazott kockázatértékelést minősítette gyengének, </w:t>
      </w:r>
      <w:r w:rsidR="00403556" w:rsidRPr="00A07F4E">
        <w:t>az ML/</w:t>
      </w:r>
      <w:proofErr w:type="spellStart"/>
      <w:r w:rsidR="00403556" w:rsidRPr="00A07F4E">
        <w:t>TF</w:t>
      </w:r>
      <w:proofErr w:type="spellEnd"/>
      <w:r w:rsidR="00403556" w:rsidRPr="00A07F4E">
        <w:t xml:space="preserve"> kockázatok ismeretét, beleértve a személyzet </w:t>
      </w:r>
      <w:proofErr w:type="spellStart"/>
      <w:r w:rsidR="00403556" w:rsidRPr="00A07F4E">
        <w:t>AML</w:t>
      </w:r>
      <w:proofErr w:type="spellEnd"/>
      <w:r w:rsidR="00403556" w:rsidRPr="00A07F4E">
        <w:t>/</w:t>
      </w:r>
      <w:proofErr w:type="spellStart"/>
      <w:r w:rsidR="00403556" w:rsidRPr="00A07F4E">
        <w:t>CFT</w:t>
      </w:r>
      <w:proofErr w:type="spellEnd"/>
      <w:r w:rsidR="00403556" w:rsidRPr="00A07F4E">
        <w:t xml:space="preserve"> képzésének elérhetőségét és hatékonyságát</w:t>
      </w:r>
      <w:r w:rsidR="00AE7403" w:rsidRPr="00A07F4E">
        <w:t>, valamint</w:t>
      </w:r>
      <w:r w:rsidRPr="00A07F4E">
        <w:t xml:space="preserve"> a nyilvántartási politikák és eljárások megfelelőségét értékelte nagyon jónak, míg a többi értékelési szempont jó minősítést kapott.</w:t>
      </w:r>
      <w:r w:rsidR="008F513B" w:rsidRPr="00A07F4E">
        <w:rPr>
          <w:rStyle w:val="Lbjegyzet-hivatkozs"/>
        </w:rPr>
        <w:footnoteReference w:id="28"/>
      </w:r>
      <w:r w:rsidRPr="00A07F4E">
        <w:t xml:space="preserve"> </w:t>
      </w:r>
    </w:p>
    <w:p w14:paraId="7482E9EF" w14:textId="50347CF1" w:rsidR="00795DD2" w:rsidRPr="00A07F4E" w:rsidRDefault="00574F9E" w:rsidP="005F2CAC">
      <w:r w:rsidRPr="00A07F4E">
        <w:t xml:space="preserve">Az </w:t>
      </w:r>
      <w:proofErr w:type="spellStart"/>
      <w:r w:rsidRPr="00A07F4E">
        <w:t>EBA</w:t>
      </w:r>
      <w:proofErr w:type="spellEnd"/>
      <w:r w:rsidRPr="00A07F4E">
        <w:t xml:space="preserve"> </w:t>
      </w:r>
      <w:proofErr w:type="spellStart"/>
      <w:r w:rsidRPr="00A07F4E">
        <w:t>Opinion</w:t>
      </w:r>
      <w:proofErr w:type="spellEnd"/>
      <w:r w:rsidR="008F513B" w:rsidRPr="00A07F4E">
        <w:t xml:space="preserve"> alapján</w:t>
      </w:r>
      <w:r w:rsidRPr="00A07F4E">
        <w:t xml:space="preserve">, </w:t>
      </w:r>
      <w:r w:rsidR="005F2CAC" w:rsidRPr="00A07F4E">
        <w:t xml:space="preserve">az illetékes </w:t>
      </w:r>
      <w:r w:rsidR="004B576C">
        <w:t xml:space="preserve">külföldi </w:t>
      </w:r>
      <w:r w:rsidR="005F2CAC" w:rsidRPr="00A07F4E">
        <w:t>hatóságok</w:t>
      </w:r>
      <w:r w:rsidR="00EF715A" w:rsidRPr="00A07F4E">
        <w:t>, akik</w:t>
      </w:r>
      <w:r w:rsidR="005F2CAC" w:rsidRPr="00A07F4E">
        <w:t xml:space="preserve"> elvégezték az ellenőrzések értékelését, és úgy ítélték meg, hogy a közvetítők által bevezetett ellenőrzések összességében jók vagy nagyon jók voltak. </w:t>
      </w:r>
      <w:r w:rsidR="00B56AA3" w:rsidRPr="00A07F4E">
        <w:t>A</w:t>
      </w:r>
      <w:r w:rsidR="005F2CAC" w:rsidRPr="00A07F4E">
        <w:t xml:space="preserve"> </w:t>
      </w:r>
      <w:r w:rsidR="004B576C">
        <w:t>külföldi</w:t>
      </w:r>
      <w:r w:rsidR="005F2CAC" w:rsidRPr="00A07F4E">
        <w:t xml:space="preserve"> hatóságok elégedettek az ügyfél-azonosítási és ellenőrzési politikák és eljárások, valamint a nyilvántartási politikák és eljárások megfelelőségével és hatékonyságával kapcsolatos ellenőrzésekkel. </w:t>
      </w:r>
      <w:r w:rsidR="008E70EA" w:rsidRPr="00A07F4E">
        <w:t xml:space="preserve">Az </w:t>
      </w:r>
      <w:proofErr w:type="spellStart"/>
      <w:r w:rsidR="008E70EA" w:rsidRPr="00A07F4E">
        <w:t>EBA</w:t>
      </w:r>
      <w:proofErr w:type="spellEnd"/>
      <w:r w:rsidR="008E70EA" w:rsidRPr="00A07F4E">
        <w:t xml:space="preserve"> </w:t>
      </w:r>
      <w:proofErr w:type="spellStart"/>
      <w:r w:rsidR="008E70EA" w:rsidRPr="00A07F4E">
        <w:t>Opinion</w:t>
      </w:r>
      <w:r w:rsidR="00B702F0">
        <w:t>-</w:t>
      </w:r>
      <w:r w:rsidR="008E70EA" w:rsidRPr="00A07F4E">
        <w:t>ből</w:t>
      </w:r>
      <w:proofErr w:type="spellEnd"/>
      <w:r w:rsidR="008E70EA" w:rsidRPr="00A07F4E">
        <w:t xml:space="preserve"> kitűnik</w:t>
      </w:r>
      <w:r w:rsidR="005F2CAC" w:rsidRPr="00A07F4E">
        <w:t xml:space="preserve">, hogy az illetékes </w:t>
      </w:r>
      <w:r w:rsidR="004B576C">
        <w:t xml:space="preserve">külföldi </w:t>
      </w:r>
      <w:r w:rsidR="005F2CAC" w:rsidRPr="00A07F4E">
        <w:t>hatóságok</w:t>
      </w:r>
      <w:r w:rsidR="00F5040D">
        <w:t xml:space="preserve">at jobban aggasztja </w:t>
      </w:r>
      <w:r w:rsidR="005F2CAC" w:rsidRPr="006E4EE8">
        <w:t>a</w:t>
      </w:r>
      <w:r w:rsidR="008F513B" w:rsidRPr="006E4EE8">
        <w:t>z</w:t>
      </w:r>
      <w:r w:rsidR="005F2CAC" w:rsidRPr="006E4EE8">
        <w:t xml:space="preserve"> </w:t>
      </w:r>
      <w:r w:rsidR="002C73BD">
        <w:t>bejelentésekkel kapcsolatos</w:t>
      </w:r>
      <w:r w:rsidR="005F2CAC" w:rsidRPr="006E4EE8">
        <w:t xml:space="preserve"> politikák</w:t>
      </w:r>
      <w:r w:rsidR="005F2CAC" w:rsidRPr="00A07F4E">
        <w:t xml:space="preserve"> és eljárások megfelelőség</w:t>
      </w:r>
      <w:r w:rsidR="00F5040D">
        <w:t>e</w:t>
      </w:r>
      <w:r w:rsidR="005F2CAC" w:rsidRPr="00A07F4E">
        <w:t xml:space="preserve"> és hatékonyság</w:t>
      </w:r>
      <w:r w:rsidR="00F5040D">
        <w:t>a</w:t>
      </w:r>
      <w:r w:rsidR="005F2CAC" w:rsidRPr="00A07F4E">
        <w:t xml:space="preserve">, az egész </w:t>
      </w:r>
      <w:r w:rsidR="00792A99">
        <w:t>szolgáltatóra</w:t>
      </w:r>
      <w:r w:rsidR="00792A99" w:rsidRPr="00A07F4E">
        <w:t xml:space="preserve"> </w:t>
      </w:r>
      <w:r w:rsidR="005F2CAC" w:rsidRPr="00A07F4E">
        <w:t>kiterjedő és az egyéni kockázatértékelések minőség</w:t>
      </w:r>
      <w:r w:rsidR="00F5040D">
        <w:t>e</w:t>
      </w:r>
      <w:r w:rsidR="005F2CAC" w:rsidRPr="00A07F4E">
        <w:t>, valamint az ML/</w:t>
      </w:r>
      <w:proofErr w:type="spellStart"/>
      <w:r w:rsidR="005F2CAC" w:rsidRPr="00A07F4E">
        <w:t>TF</w:t>
      </w:r>
      <w:proofErr w:type="spellEnd"/>
      <w:r w:rsidR="005F2CAC" w:rsidRPr="00A07F4E">
        <w:t xml:space="preserve"> kockázatokkal összefüggő tudatossággal kapcsolatos ellenőrzések</w:t>
      </w:r>
      <w:r w:rsidR="00F5040D">
        <w:t>.</w:t>
      </w:r>
      <w:r w:rsidR="005F2CAC" w:rsidRPr="00A07F4E">
        <w:t xml:space="preserve"> </w:t>
      </w:r>
    </w:p>
    <w:p w14:paraId="03905B40" w14:textId="77777777" w:rsidR="00574F9E" w:rsidRPr="00A07F4E" w:rsidRDefault="00574F9E" w:rsidP="00A07F4E">
      <w:pPr>
        <w:pStyle w:val="Cmsor3"/>
        <w:numPr>
          <w:ilvl w:val="0"/>
          <w:numId w:val="146"/>
        </w:numPr>
      </w:pPr>
      <w:bookmarkStart w:id="278" w:name="_Toc109906068"/>
      <w:r w:rsidRPr="00A07F4E">
        <w:t>Felügyeleti tevékenység</w:t>
      </w:r>
      <w:bookmarkEnd w:id="278"/>
    </w:p>
    <w:p w14:paraId="54095A06" w14:textId="1FC72D2D" w:rsidR="00795DD2" w:rsidRPr="00A07F4E" w:rsidRDefault="00574F9E" w:rsidP="0041629D">
      <w:r w:rsidRPr="00EB55A1">
        <w:t>A</w:t>
      </w:r>
      <w:r w:rsidR="004B576C" w:rsidRPr="00EB55A1">
        <w:t>z MNB</w:t>
      </w:r>
      <w:r w:rsidRPr="00A07F4E">
        <w:t xml:space="preserve"> a szektor </w:t>
      </w:r>
      <w:r w:rsidR="00D579C8" w:rsidRPr="00A07F4E">
        <w:t>Kevésbé</w:t>
      </w:r>
      <w:r w:rsidRPr="00A07F4E">
        <w:t xml:space="preserve"> jelentős inherens kockázati besorolására tekintettel kisebb hangsúlyt fektetett jelen szektor </w:t>
      </w:r>
      <w:proofErr w:type="spellStart"/>
      <w:r w:rsidR="00B56AA3" w:rsidRPr="00A07F4E">
        <w:t>on</w:t>
      </w:r>
      <w:proofErr w:type="spellEnd"/>
      <w:r w:rsidR="00B56AA3" w:rsidRPr="00A07F4E">
        <w:t xml:space="preserve">-site </w:t>
      </w:r>
      <w:r w:rsidRPr="00A07F4E">
        <w:t xml:space="preserve">ellenőrzésére. </w:t>
      </w:r>
      <w:r w:rsidR="008F513B" w:rsidRPr="00EB55A1">
        <w:t>A</w:t>
      </w:r>
      <w:r w:rsidR="001C0BEE" w:rsidRPr="00EB55A1">
        <w:t>z MNB</w:t>
      </w:r>
      <w:r w:rsidR="008F513B" w:rsidRPr="009F3A30">
        <w:t xml:space="preserve"> az életbiztosítás közvetítői szektort az ügyfelektől, illetve társhatóságoktól érkező panaszok és sajtófigyelés során szerzett információk alapján felügyeli, felmerülő kockázati jelzés alapján ellenőrzi.</w:t>
      </w:r>
      <w:r w:rsidR="008F513B" w:rsidRPr="00A07F4E">
        <w:t xml:space="preserve"> </w:t>
      </w:r>
    </w:p>
    <w:p w14:paraId="05CF85BB" w14:textId="77777777" w:rsidR="00574F9E" w:rsidRPr="00A07F4E" w:rsidRDefault="00574F9E" w:rsidP="00A07F4E">
      <w:pPr>
        <w:pStyle w:val="Cmsor3"/>
        <w:numPr>
          <w:ilvl w:val="0"/>
          <w:numId w:val="146"/>
        </w:numPr>
      </w:pPr>
      <w:bookmarkStart w:id="279" w:name="_Toc109906069"/>
      <w:r w:rsidRPr="00A07F4E">
        <w:t>Azonosított jogsértések</w:t>
      </w:r>
      <w:bookmarkEnd w:id="279"/>
    </w:p>
    <w:p w14:paraId="0549F97B" w14:textId="21AC0A27" w:rsidR="00574F9E" w:rsidRPr="00A07F4E" w:rsidRDefault="00574F9E" w:rsidP="00574F9E">
      <w:r w:rsidRPr="00EB55A1">
        <w:t>A</w:t>
      </w:r>
      <w:r w:rsidR="00B154D8">
        <w:t>z MNB</w:t>
      </w:r>
      <w:r w:rsidRPr="00A07F4E">
        <w:t xml:space="preserve"> </w:t>
      </w:r>
      <w:r w:rsidR="008C1A55">
        <w:t>a szolgáltatók</w:t>
      </w:r>
      <w:r w:rsidRPr="00A07F4E">
        <w:t xml:space="preserve"> felügyelete során az ügyfelek kockázatértékelésével, a gyanús tranzakciók jelentésével, valamint az oktatással és a tudatossággal kapcsolatban azonosított. </w:t>
      </w:r>
      <w:r w:rsidRPr="00EB55A1">
        <w:t>A</w:t>
      </w:r>
      <w:r w:rsidR="00A87B9F">
        <w:t>z MNB</w:t>
      </w:r>
      <w:r w:rsidRPr="00A07F4E">
        <w:t xml:space="preserve"> által alkalmazott intézkedések a szektorhoz tartozó </w:t>
      </w:r>
      <w:r w:rsidR="008C1A55">
        <w:t>szolgáltatók</w:t>
      </w:r>
      <w:r w:rsidRPr="00A07F4E">
        <w:t xml:space="preserve"> esetében jellemzően a megfelelési, meghatározott intézkedések végrehajtására vonatkozó utasítások, valamint helyreállítási terv bevezetésére vonatkozó kötelezés</w:t>
      </w:r>
      <w:r w:rsidR="00605383" w:rsidRPr="00A07F4E">
        <w:t>ek</w:t>
      </w:r>
      <w:r w:rsidRPr="00A07F4E">
        <w:t xml:space="preserve"> voltak. </w:t>
      </w:r>
    </w:p>
    <w:p w14:paraId="01F48D0C" w14:textId="1057E77E" w:rsidR="00C42182" w:rsidRPr="00A07F4E" w:rsidRDefault="00DF47A4" w:rsidP="00700EC3">
      <w:r w:rsidRPr="00A07F4E">
        <w:lastRenderedPageBreak/>
        <w:t xml:space="preserve">Az </w:t>
      </w:r>
      <w:proofErr w:type="spellStart"/>
      <w:r w:rsidRPr="00A07F4E">
        <w:t>EBA</w:t>
      </w:r>
      <w:proofErr w:type="spellEnd"/>
      <w:r w:rsidRPr="00A07F4E">
        <w:t xml:space="preserve"> </w:t>
      </w:r>
      <w:proofErr w:type="spellStart"/>
      <w:r w:rsidRPr="00A07F4E">
        <w:t>Opinion</w:t>
      </w:r>
      <w:proofErr w:type="spellEnd"/>
      <w:r w:rsidRPr="00A07F4E">
        <w:t xml:space="preserve"> alapján, az illetékes </w:t>
      </w:r>
      <w:r w:rsidR="00A87B9F">
        <w:t xml:space="preserve">külföldi </w:t>
      </w:r>
      <w:r w:rsidRPr="00A07F4E">
        <w:t>hatóságok a szektorban kisszámú jogsértést állapítottak meg, amelyeket főként kisebb vagy közepes mértékűnek minősítettek. A beérkezett válaszokból megállapítható, hogy a fő jogsértések az ügyfelek azonosításával és személyazonosság</w:t>
      </w:r>
      <w:r w:rsidR="00605383" w:rsidRPr="00A07F4E">
        <w:t>uk</w:t>
      </w:r>
      <w:r w:rsidRPr="00A07F4E">
        <w:t xml:space="preserve"> ellenőrzésével, a belső ellenőrzésekkel és az általános </w:t>
      </w:r>
      <w:proofErr w:type="spellStart"/>
      <w:r w:rsidRPr="00A07F4E">
        <w:t>AML</w:t>
      </w:r>
      <w:proofErr w:type="spellEnd"/>
      <w:r w:rsidRPr="00A07F4E">
        <w:t>/</w:t>
      </w:r>
      <w:proofErr w:type="spellStart"/>
      <w:r w:rsidRPr="00A07F4E">
        <w:t>CFT</w:t>
      </w:r>
      <w:proofErr w:type="spellEnd"/>
      <w:r w:rsidRPr="00A07F4E">
        <w:t xml:space="preserve"> szabályokkal és eljárásokkal, valamint mind az egész </w:t>
      </w:r>
      <w:r w:rsidR="00792A99">
        <w:t>szolgáltatóra</w:t>
      </w:r>
      <w:r w:rsidRPr="00A07F4E">
        <w:t xml:space="preserve"> kiterjedő, mind az ügyfelek kockázatértékelésének minőségével </w:t>
      </w:r>
      <w:r w:rsidR="008F513B" w:rsidRPr="009F3A30">
        <w:t>voltak</w:t>
      </w:r>
      <w:r w:rsidR="008F513B" w:rsidRPr="00A07F4E">
        <w:t xml:space="preserve"> </w:t>
      </w:r>
      <w:r w:rsidRPr="00A07F4E">
        <w:t>kapcsolatosak.</w:t>
      </w:r>
    </w:p>
    <w:p w14:paraId="1DD3C307" w14:textId="77777777" w:rsidR="00535CCE" w:rsidRPr="00A07F4E" w:rsidRDefault="00535CCE" w:rsidP="00A07F4E">
      <w:pPr>
        <w:pStyle w:val="Cmsor3"/>
        <w:numPr>
          <w:ilvl w:val="0"/>
          <w:numId w:val="146"/>
        </w:numPr>
      </w:pPr>
      <w:bookmarkStart w:id="280" w:name="_Toc109906070"/>
      <w:r w:rsidRPr="00A07F4E">
        <w:t>Alszektorok</w:t>
      </w:r>
      <w:bookmarkEnd w:id="280"/>
    </w:p>
    <w:p w14:paraId="5FEDA9D4" w14:textId="77777777" w:rsidR="00DC7B3F" w:rsidRPr="00A07F4E" w:rsidRDefault="00FC10F8" w:rsidP="00A07F4E">
      <w:pPr>
        <w:pStyle w:val="Listaszerbekezds"/>
        <w:numPr>
          <w:ilvl w:val="0"/>
          <w:numId w:val="197"/>
        </w:numPr>
        <w:spacing w:after="0" w:line="240" w:lineRule="auto"/>
        <w:ind w:left="851" w:hanging="284"/>
        <w:rPr>
          <w:rFonts w:cs="Times New Roman"/>
        </w:rPr>
      </w:pPr>
      <w:r w:rsidRPr="00A07F4E">
        <w:rPr>
          <w:rFonts w:cs="Times New Roman"/>
        </w:rPr>
        <w:t>Biztosítási alkusz</w:t>
      </w:r>
      <w:r w:rsidR="00830BDF" w:rsidRPr="00A07F4E">
        <w:rPr>
          <w:rFonts w:cs="Times New Roman"/>
        </w:rPr>
        <w:t xml:space="preserve"> – </w:t>
      </w:r>
      <w:r w:rsidR="00D75BFB" w:rsidRPr="00A07F4E">
        <w:rPr>
          <w:rFonts w:cs="Times New Roman"/>
        </w:rPr>
        <w:t>alszektor</w:t>
      </w:r>
    </w:p>
    <w:p w14:paraId="3B990308" w14:textId="77777777" w:rsidR="00D75BFB" w:rsidRPr="00A07F4E" w:rsidRDefault="00D75BFB" w:rsidP="00D75BFB">
      <w:pPr>
        <w:pStyle w:val="Listaszerbekezds"/>
        <w:numPr>
          <w:ilvl w:val="0"/>
          <w:numId w:val="0"/>
        </w:numPr>
        <w:spacing w:after="0" w:line="240" w:lineRule="auto"/>
        <w:ind w:left="1364"/>
        <w:rPr>
          <w:rFonts w:cs="Times New Roman"/>
        </w:rPr>
      </w:pPr>
    </w:p>
    <w:p w14:paraId="78161BA6" w14:textId="104740DF" w:rsidR="00830BDF" w:rsidRPr="00A07F4E" w:rsidRDefault="00830BDF" w:rsidP="00FC10F8">
      <w:pPr>
        <w:spacing w:after="0" w:line="240" w:lineRule="auto"/>
        <w:rPr>
          <w:rFonts w:cs="Times New Roman"/>
        </w:rPr>
      </w:pPr>
      <w:r w:rsidRPr="00A07F4E">
        <w:rPr>
          <w:rFonts w:cs="Times New Roman"/>
        </w:rPr>
        <w:t xml:space="preserve">Magyarországon a biztosítási alkusz alszektorban </w:t>
      </w:r>
      <w:r w:rsidR="00E972E9" w:rsidRPr="00FC37B3">
        <w:t>330</w:t>
      </w:r>
      <w:r w:rsidR="0025361E" w:rsidRPr="00FC37B3">
        <w:t xml:space="preserve"> </w:t>
      </w:r>
      <w:r w:rsidR="00443312" w:rsidRPr="00FC37B3">
        <w:t xml:space="preserve">és </w:t>
      </w:r>
      <w:r w:rsidR="00747FB9" w:rsidRPr="00FC37B3">
        <w:t>360</w:t>
      </w:r>
      <w:r w:rsidR="00443312" w:rsidRPr="00FC37B3">
        <w:t xml:space="preserve"> közötti számú</w:t>
      </w:r>
      <w:r w:rsidRPr="00FC37B3">
        <w:rPr>
          <w:rFonts w:cs="Times New Roman"/>
        </w:rPr>
        <w:t xml:space="preserve"> szolgáltató tevékenykedik</w:t>
      </w:r>
      <w:r w:rsidRPr="00747FB9">
        <w:rPr>
          <w:rFonts w:cs="Times New Roman"/>
        </w:rPr>
        <w:t>.</w:t>
      </w:r>
      <w:r w:rsidRPr="00A07F4E">
        <w:rPr>
          <w:rFonts w:cs="Times New Roman"/>
        </w:rPr>
        <w:t xml:space="preserve"> </w:t>
      </w:r>
    </w:p>
    <w:p w14:paraId="032FB608" w14:textId="77777777" w:rsidR="00830BDF" w:rsidRPr="00A07F4E" w:rsidRDefault="00830BDF" w:rsidP="00FC10F8">
      <w:pPr>
        <w:spacing w:after="0" w:line="240" w:lineRule="auto"/>
        <w:rPr>
          <w:rFonts w:cs="Times New Roman"/>
        </w:rPr>
      </w:pPr>
    </w:p>
    <w:p w14:paraId="5866F4CC" w14:textId="1F5CFF2E" w:rsidR="00FC10F8" w:rsidRPr="00A07F4E" w:rsidRDefault="00FC10F8" w:rsidP="00FC37B3">
      <w:pPr>
        <w:rPr>
          <w:rFonts w:cs="Times New Roman"/>
        </w:rPr>
      </w:pPr>
      <w:r w:rsidRPr="00A07F4E">
        <w:rPr>
          <w:rFonts w:cs="Times New Roman"/>
        </w:rPr>
        <w:t>A független biztosításközvetítők, azaz az alkusz az ügyféllel kötött szerződés alapján, az ügyfél megbízásából járnak el, előkészíti</w:t>
      </w:r>
      <w:r w:rsidR="00544419" w:rsidRPr="00A07F4E">
        <w:rPr>
          <w:rFonts w:cs="Times New Roman"/>
        </w:rPr>
        <w:t>k</w:t>
      </w:r>
      <w:r w:rsidRPr="00A07F4E">
        <w:rPr>
          <w:rFonts w:cs="Times New Roman"/>
        </w:rPr>
        <w:t xml:space="preserve"> a biztosítási szerződés megkötését, tevékenység</w:t>
      </w:r>
      <w:r w:rsidR="00544419" w:rsidRPr="00A07F4E">
        <w:rPr>
          <w:rFonts w:cs="Times New Roman"/>
        </w:rPr>
        <w:t>ükre</w:t>
      </w:r>
      <w:r w:rsidRPr="00A07F4E">
        <w:rPr>
          <w:rFonts w:cs="Times New Roman"/>
        </w:rPr>
        <w:t xml:space="preserve"> pedig kiterjedhet – az ügyfél képviseletében – a szerződés megkötésére, a megbízó igényeinek érvényesítésében történő közreműködésre.</w:t>
      </w:r>
      <w:r w:rsidR="00554380" w:rsidRPr="00A07F4E">
        <w:rPr>
          <w:rFonts w:cs="Times New Roman"/>
        </w:rPr>
        <w:t xml:space="preserve"> K</w:t>
      </w:r>
      <w:r w:rsidR="00D75BFB" w:rsidRPr="00A07F4E">
        <w:rPr>
          <w:rFonts w:cs="Times New Roman"/>
        </w:rPr>
        <w:t>ockázatot növelő tényező lehet, hogy a biztosítási alkuszok közvetlenül az ügyféllel állnak megbízási jogviszonyban, így a profitori</w:t>
      </w:r>
      <w:r w:rsidR="00554380" w:rsidRPr="00A07F4E">
        <w:rPr>
          <w:rFonts w:cs="Times New Roman"/>
        </w:rPr>
        <w:t xml:space="preserve">entált vállalkozások hajlamosabbak lehetnek az </w:t>
      </w:r>
      <w:proofErr w:type="spellStart"/>
      <w:r w:rsidR="00554380" w:rsidRPr="00A07F4E">
        <w:rPr>
          <w:rFonts w:cs="Times New Roman"/>
        </w:rPr>
        <w:t>AML</w:t>
      </w:r>
      <w:proofErr w:type="spellEnd"/>
      <w:r w:rsidR="00554380" w:rsidRPr="00A07F4E">
        <w:rPr>
          <w:rFonts w:cs="Times New Roman"/>
        </w:rPr>
        <w:t>/</w:t>
      </w:r>
      <w:proofErr w:type="spellStart"/>
      <w:r w:rsidR="00554380" w:rsidRPr="00A07F4E">
        <w:rPr>
          <w:rFonts w:cs="Times New Roman"/>
        </w:rPr>
        <w:t>CFT</w:t>
      </w:r>
      <w:proofErr w:type="spellEnd"/>
      <w:r w:rsidR="00554380" w:rsidRPr="00A07F4E">
        <w:rPr>
          <w:rFonts w:cs="Times New Roman"/>
        </w:rPr>
        <w:t xml:space="preserve"> kötelezettségeknek kevésbe megfelelni. Azonban figyelemmel a szektor inherens kockázatára, illetve arra</w:t>
      </w:r>
      <w:r w:rsidR="00605383" w:rsidRPr="00A07F4E">
        <w:rPr>
          <w:rFonts w:cs="Times New Roman"/>
        </w:rPr>
        <w:t xml:space="preserve"> a tényre</w:t>
      </w:r>
      <w:r w:rsidR="001727FE" w:rsidRPr="00A07F4E">
        <w:rPr>
          <w:rFonts w:cs="Times New Roman"/>
        </w:rPr>
        <w:t>,</w:t>
      </w:r>
      <w:r w:rsidR="00554380" w:rsidRPr="00A07F4E">
        <w:rPr>
          <w:rFonts w:cs="Times New Roman"/>
        </w:rPr>
        <w:t xml:space="preserve"> hogy az alszektor </w:t>
      </w:r>
      <w:r w:rsidR="00605383" w:rsidRPr="00A07F4E">
        <w:rPr>
          <w:rFonts w:cs="Times New Roman"/>
        </w:rPr>
        <w:t xml:space="preserve">kevésbé </w:t>
      </w:r>
      <w:r w:rsidR="00554380" w:rsidRPr="00A07F4E">
        <w:rPr>
          <w:rFonts w:cs="Times New Roman"/>
        </w:rPr>
        <w:t>van kitéve ML/</w:t>
      </w:r>
      <w:proofErr w:type="spellStart"/>
      <w:r w:rsidR="00554380" w:rsidRPr="00A07F4E">
        <w:rPr>
          <w:rFonts w:cs="Times New Roman"/>
        </w:rPr>
        <w:t>TF</w:t>
      </w:r>
      <w:proofErr w:type="spellEnd"/>
      <w:r w:rsidR="00554380" w:rsidRPr="00A07F4E">
        <w:rPr>
          <w:rFonts w:cs="Times New Roman"/>
        </w:rPr>
        <w:t xml:space="preserve"> céloknak, a</w:t>
      </w:r>
      <w:r w:rsidR="00DC7B3F" w:rsidRPr="00A07F4E">
        <w:rPr>
          <w:rFonts w:cs="Times New Roman"/>
        </w:rPr>
        <w:t xml:space="preserve"> biztosítási alkuszok inherens kockázata </w:t>
      </w:r>
      <w:r w:rsidR="00283FFD" w:rsidRPr="00F6504D">
        <w:rPr>
          <w:rFonts w:cs="Times New Roman"/>
        </w:rPr>
        <w:t>az MNB</w:t>
      </w:r>
      <w:r w:rsidR="00283FFD">
        <w:rPr>
          <w:rFonts w:cs="Times New Roman"/>
        </w:rPr>
        <w:t xml:space="preserve"> </w:t>
      </w:r>
      <w:r w:rsidR="00554380" w:rsidRPr="00F6504D">
        <w:rPr>
          <w:rFonts w:cs="Times New Roman"/>
        </w:rPr>
        <w:t>értékelése</w:t>
      </w:r>
      <w:r w:rsidR="00554380" w:rsidRPr="00A07F4E">
        <w:rPr>
          <w:rFonts w:cs="Times New Roman"/>
        </w:rPr>
        <w:t xml:space="preserve"> alapján </w:t>
      </w:r>
      <w:r w:rsidR="009F2325" w:rsidRPr="00A07F4E">
        <w:rPr>
          <w:rFonts w:cs="Times New Roman"/>
        </w:rPr>
        <w:t xml:space="preserve">Kevésbé jelentős. </w:t>
      </w:r>
    </w:p>
    <w:p w14:paraId="00CA102E" w14:textId="77777777" w:rsidR="00554380" w:rsidRPr="00A07F4E" w:rsidRDefault="00554380" w:rsidP="00FC10F8">
      <w:pPr>
        <w:spacing w:after="0" w:line="240" w:lineRule="auto"/>
        <w:rPr>
          <w:rFonts w:cs="Times New Roman"/>
        </w:rPr>
      </w:pPr>
    </w:p>
    <w:tbl>
      <w:tblPr>
        <w:tblW w:w="2760" w:type="dxa"/>
        <w:tblCellMar>
          <w:left w:w="70" w:type="dxa"/>
          <w:right w:w="70" w:type="dxa"/>
        </w:tblCellMar>
        <w:tblLook w:val="04A0" w:firstRow="1" w:lastRow="0" w:firstColumn="1" w:lastColumn="0" w:noHBand="0" w:noVBand="1"/>
      </w:tblPr>
      <w:tblGrid>
        <w:gridCol w:w="1440"/>
        <w:gridCol w:w="1320"/>
      </w:tblGrid>
      <w:tr w:rsidR="00554380" w:rsidRPr="00A07F4E" w14:paraId="08345BDB" w14:textId="77777777" w:rsidTr="00554380">
        <w:trPr>
          <w:trHeight w:val="300"/>
        </w:trPr>
        <w:tc>
          <w:tcPr>
            <w:tcW w:w="1440" w:type="dxa"/>
            <w:tcBorders>
              <w:top w:val="nil"/>
              <w:left w:val="nil"/>
              <w:bottom w:val="nil"/>
              <w:right w:val="nil"/>
            </w:tcBorders>
            <w:shd w:val="clear" w:color="auto" w:fill="auto"/>
            <w:noWrap/>
            <w:vAlign w:val="center"/>
            <w:hideMark/>
          </w:tcPr>
          <w:p w14:paraId="62DB6590" w14:textId="77777777" w:rsidR="00554380" w:rsidRPr="00A07F4E" w:rsidRDefault="00554380" w:rsidP="00554380">
            <w:pPr>
              <w:spacing w:after="0" w:line="240" w:lineRule="auto"/>
              <w:jc w:val="center"/>
              <w:rPr>
                <w:rFonts w:eastAsia="Times New Roman" w:cs="Calibri"/>
                <w:b/>
                <w:bCs/>
                <w:color w:val="000000"/>
                <w:sz w:val="16"/>
                <w:szCs w:val="16"/>
              </w:rPr>
            </w:pPr>
            <w:r w:rsidRPr="00A07F4E">
              <w:rPr>
                <w:rFonts w:eastAsia="Times New Roman" w:cs="Calibri"/>
                <w:b/>
                <w:bCs/>
                <w:color w:val="000000"/>
                <w:sz w:val="16"/>
                <w:szCs w:val="16"/>
              </w:rPr>
              <w:t>Inherens kockázat:</w:t>
            </w:r>
            <w:r w:rsidRPr="00A07F4E">
              <w:rPr>
                <w:rFonts w:eastAsia="Times New Roman" w:cs="Calibri"/>
                <w:color w:val="000000"/>
                <w:sz w:val="16"/>
                <w:szCs w:val="16"/>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D42FA4" w14:textId="77777777" w:rsidR="00554380" w:rsidRPr="00A07F4E" w:rsidRDefault="00554380" w:rsidP="00554380">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Kevésbé jelentős</w:t>
            </w:r>
          </w:p>
        </w:tc>
      </w:tr>
    </w:tbl>
    <w:p w14:paraId="5BB499A7" w14:textId="77777777" w:rsidR="00554380" w:rsidRPr="00A07F4E" w:rsidRDefault="00554380" w:rsidP="00FC10F8">
      <w:pPr>
        <w:spacing w:after="0" w:line="240" w:lineRule="auto"/>
        <w:rPr>
          <w:rFonts w:cs="Times New Roman"/>
        </w:rPr>
      </w:pPr>
    </w:p>
    <w:p w14:paraId="3A77853E" w14:textId="3E8B1D04" w:rsidR="00375E91" w:rsidRPr="00A07F4E" w:rsidRDefault="00375E91" w:rsidP="00FC37B3">
      <w:pPr>
        <w:rPr>
          <w:rFonts w:cs="Times New Roman"/>
        </w:rPr>
      </w:pPr>
      <w:r w:rsidRPr="00A07F4E">
        <w:rPr>
          <w:rFonts w:cs="Times New Roman"/>
        </w:rPr>
        <w:t xml:space="preserve">A szektor értékelésénél részletezett kockázatcsökkentő </w:t>
      </w:r>
      <w:r w:rsidR="00D75BFB" w:rsidRPr="00A07F4E">
        <w:rPr>
          <w:rFonts w:cs="Times New Roman"/>
        </w:rPr>
        <w:t>intézkedésekre, illetve arra a tényre, hogy folyamatos felügyelés során kockázatot növelő tényező nem jutott a</w:t>
      </w:r>
      <w:r w:rsidR="009B2298">
        <w:rPr>
          <w:rFonts w:cs="Times New Roman"/>
        </w:rPr>
        <w:t>z MNB</w:t>
      </w:r>
      <w:r w:rsidR="00D75BFB" w:rsidRPr="00A07F4E">
        <w:rPr>
          <w:rFonts w:cs="Times New Roman"/>
        </w:rPr>
        <w:t xml:space="preserve"> </w:t>
      </w:r>
      <w:r w:rsidR="00D75BFB" w:rsidRPr="00F6504D">
        <w:rPr>
          <w:rFonts w:cs="Times New Roman"/>
        </w:rPr>
        <w:t>tudomására</w:t>
      </w:r>
      <w:r w:rsidR="00D75BFB" w:rsidRPr="00A07F4E">
        <w:rPr>
          <w:rFonts w:cs="Times New Roman"/>
        </w:rPr>
        <w:t xml:space="preserve">, a biztosítási alkusz alszektor maradványkockázatát </w:t>
      </w:r>
      <w:r w:rsidR="00D75BFB" w:rsidRPr="00F6504D">
        <w:rPr>
          <w:rFonts w:cs="Times New Roman"/>
        </w:rPr>
        <w:t>a</w:t>
      </w:r>
      <w:r w:rsidR="009B2298" w:rsidRPr="00F6504D">
        <w:rPr>
          <w:rFonts w:cs="Times New Roman"/>
        </w:rPr>
        <w:t>z MNB</w:t>
      </w:r>
      <w:r w:rsidR="00D75BFB" w:rsidRPr="00A07F4E">
        <w:rPr>
          <w:rFonts w:cs="Times New Roman"/>
        </w:rPr>
        <w:t xml:space="preserve"> Kevésbé jelentősnek értékeli. </w:t>
      </w:r>
    </w:p>
    <w:p w14:paraId="163F72BE" w14:textId="77777777" w:rsidR="00554380" w:rsidRPr="00A07F4E" w:rsidRDefault="00554380" w:rsidP="00FC10F8">
      <w:pPr>
        <w:spacing w:after="0" w:line="240" w:lineRule="auto"/>
        <w:rPr>
          <w:rFonts w:cs="Times New Roman"/>
        </w:rPr>
      </w:pPr>
    </w:p>
    <w:tbl>
      <w:tblPr>
        <w:tblW w:w="2760" w:type="dxa"/>
        <w:tblCellMar>
          <w:left w:w="70" w:type="dxa"/>
          <w:right w:w="70" w:type="dxa"/>
        </w:tblCellMar>
        <w:tblLook w:val="04A0" w:firstRow="1" w:lastRow="0" w:firstColumn="1" w:lastColumn="0" w:noHBand="0" w:noVBand="1"/>
      </w:tblPr>
      <w:tblGrid>
        <w:gridCol w:w="1525"/>
        <w:gridCol w:w="1320"/>
      </w:tblGrid>
      <w:tr w:rsidR="00554380" w:rsidRPr="00A07F4E" w14:paraId="7D533751" w14:textId="77777777" w:rsidTr="00554380">
        <w:trPr>
          <w:trHeight w:val="300"/>
        </w:trPr>
        <w:tc>
          <w:tcPr>
            <w:tcW w:w="1440" w:type="dxa"/>
            <w:tcBorders>
              <w:top w:val="nil"/>
              <w:left w:val="nil"/>
              <w:bottom w:val="nil"/>
              <w:right w:val="nil"/>
            </w:tcBorders>
            <w:shd w:val="clear" w:color="auto" w:fill="auto"/>
            <w:noWrap/>
            <w:vAlign w:val="center"/>
            <w:hideMark/>
          </w:tcPr>
          <w:p w14:paraId="1B21A6FC" w14:textId="77777777" w:rsidR="00554380" w:rsidRPr="00A07F4E" w:rsidRDefault="00554380" w:rsidP="00554380">
            <w:pPr>
              <w:spacing w:after="0" w:line="240" w:lineRule="auto"/>
              <w:jc w:val="center"/>
              <w:rPr>
                <w:rFonts w:eastAsia="Times New Roman" w:cs="Calibri"/>
                <w:b/>
                <w:bCs/>
                <w:color w:val="000000"/>
                <w:sz w:val="16"/>
                <w:szCs w:val="16"/>
              </w:rPr>
            </w:pPr>
            <w:r w:rsidRPr="00A07F4E">
              <w:rPr>
                <w:rFonts w:eastAsia="Times New Roman" w:cs="Calibri"/>
                <w:b/>
                <w:bCs/>
                <w:color w:val="000000"/>
                <w:sz w:val="16"/>
                <w:szCs w:val="16"/>
              </w:rPr>
              <w:t>Maradványkockázat:</w:t>
            </w:r>
          </w:p>
        </w:tc>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50FE1B8" w14:textId="77777777" w:rsidR="00554380" w:rsidRPr="00A07F4E" w:rsidRDefault="00554380" w:rsidP="00554380">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Kevésbé jelentős</w:t>
            </w:r>
          </w:p>
        </w:tc>
      </w:tr>
    </w:tbl>
    <w:p w14:paraId="7C7E18C8" w14:textId="77777777" w:rsidR="00554380" w:rsidRPr="00A07F4E" w:rsidRDefault="00554380" w:rsidP="00FC10F8">
      <w:pPr>
        <w:spacing w:after="0" w:line="240" w:lineRule="auto"/>
        <w:rPr>
          <w:rFonts w:cs="Times New Roman"/>
        </w:rPr>
      </w:pPr>
    </w:p>
    <w:p w14:paraId="0C89A253" w14:textId="77777777" w:rsidR="00FC10F8" w:rsidRPr="00A07F4E" w:rsidRDefault="00FC10F8" w:rsidP="00A07F4E">
      <w:pPr>
        <w:pStyle w:val="Listaszerbekezds"/>
        <w:numPr>
          <w:ilvl w:val="0"/>
          <w:numId w:val="197"/>
        </w:numPr>
        <w:spacing w:after="0" w:line="240" w:lineRule="auto"/>
        <w:ind w:left="851" w:hanging="284"/>
        <w:rPr>
          <w:rFonts w:cs="Times New Roman"/>
        </w:rPr>
      </w:pPr>
      <w:r w:rsidRPr="00A07F4E">
        <w:rPr>
          <w:rFonts w:cs="Times New Roman"/>
        </w:rPr>
        <w:t>Biztosítási többes ügynök</w:t>
      </w:r>
      <w:r w:rsidR="00830BDF" w:rsidRPr="00A07F4E">
        <w:rPr>
          <w:rFonts w:cs="Times New Roman"/>
        </w:rPr>
        <w:t xml:space="preserve"> – alszektor </w:t>
      </w:r>
    </w:p>
    <w:p w14:paraId="172512C3" w14:textId="77777777" w:rsidR="00830BDF" w:rsidRPr="00A07F4E" w:rsidRDefault="00830BDF" w:rsidP="00830BDF">
      <w:pPr>
        <w:spacing w:after="0" w:line="240" w:lineRule="auto"/>
        <w:ind w:left="1004"/>
        <w:rPr>
          <w:rFonts w:cs="Times New Roman"/>
        </w:rPr>
      </w:pPr>
    </w:p>
    <w:p w14:paraId="044D76B2" w14:textId="77777777" w:rsidR="00830BDF" w:rsidRPr="00A07F4E" w:rsidRDefault="00830BDF" w:rsidP="00830BDF">
      <w:pPr>
        <w:spacing w:after="0" w:line="240" w:lineRule="auto"/>
        <w:rPr>
          <w:rFonts w:cs="Times New Roman"/>
        </w:rPr>
      </w:pPr>
      <w:r w:rsidRPr="00A07F4E">
        <w:rPr>
          <w:rFonts w:cs="Times New Roman"/>
        </w:rPr>
        <w:t xml:space="preserve">Magyarországon a biztosítási alkusz </w:t>
      </w:r>
      <w:r w:rsidRPr="00747FB9">
        <w:rPr>
          <w:rFonts w:cs="Times New Roman"/>
        </w:rPr>
        <w:t xml:space="preserve">alszektorban </w:t>
      </w:r>
      <w:r w:rsidR="0097278F" w:rsidRPr="00FC37B3">
        <w:t>3</w:t>
      </w:r>
      <w:r w:rsidR="00803C58" w:rsidRPr="00FC37B3">
        <w:t>0</w:t>
      </w:r>
      <w:r w:rsidR="00544419" w:rsidRPr="00FC37B3">
        <w:t xml:space="preserve"> </w:t>
      </w:r>
      <w:r w:rsidR="00803C58" w:rsidRPr="00FC37B3">
        <w:t>és 50 közötti</w:t>
      </w:r>
      <w:r w:rsidRPr="00FC37B3">
        <w:rPr>
          <w:rFonts w:cs="Times New Roman"/>
        </w:rPr>
        <w:t xml:space="preserve"> szolgáltató</w:t>
      </w:r>
      <w:r w:rsidRPr="00747FB9">
        <w:rPr>
          <w:rFonts w:cs="Times New Roman"/>
        </w:rPr>
        <w:t xml:space="preserve"> tevékenyk</w:t>
      </w:r>
      <w:r w:rsidRPr="00A07F4E">
        <w:rPr>
          <w:rFonts w:cs="Times New Roman"/>
        </w:rPr>
        <w:t xml:space="preserve">edik. </w:t>
      </w:r>
    </w:p>
    <w:p w14:paraId="2ACF3274" w14:textId="77777777" w:rsidR="00554380" w:rsidRPr="00A07F4E" w:rsidRDefault="00554380" w:rsidP="00554380">
      <w:pPr>
        <w:spacing w:after="0" w:line="240" w:lineRule="auto"/>
        <w:rPr>
          <w:rFonts w:cs="Times New Roman"/>
        </w:rPr>
      </w:pPr>
    </w:p>
    <w:p w14:paraId="69CF50EC" w14:textId="60E078B8" w:rsidR="00554380" w:rsidRPr="00A07F4E" w:rsidRDefault="00554380" w:rsidP="00FC37B3">
      <w:pPr>
        <w:rPr>
          <w:rFonts w:cs="Times New Roman"/>
        </w:rPr>
      </w:pPr>
      <w:r w:rsidRPr="00A07F4E">
        <w:rPr>
          <w:rFonts w:cs="Times New Roman"/>
        </w:rPr>
        <w:t xml:space="preserve">A függő biztosításközvetítők a biztosítóval állnak jogviszonyban, amely alapján a megbízást adó biztosító lesz az ügyféllel szerződő fél, az ügynök a biztosító </w:t>
      </w:r>
      <w:proofErr w:type="spellStart"/>
      <w:r w:rsidRPr="00A07F4E">
        <w:rPr>
          <w:rFonts w:cs="Times New Roman"/>
        </w:rPr>
        <w:t>AML</w:t>
      </w:r>
      <w:proofErr w:type="spellEnd"/>
      <w:r w:rsidRPr="00A07F4E">
        <w:rPr>
          <w:rFonts w:cs="Times New Roman"/>
        </w:rPr>
        <w:t>/</w:t>
      </w:r>
      <w:proofErr w:type="spellStart"/>
      <w:r w:rsidRPr="00A07F4E">
        <w:rPr>
          <w:rFonts w:cs="Times New Roman"/>
        </w:rPr>
        <w:t>CFT</w:t>
      </w:r>
      <w:proofErr w:type="spellEnd"/>
      <w:r w:rsidRPr="00A07F4E">
        <w:rPr>
          <w:rFonts w:cs="Times New Roman"/>
        </w:rPr>
        <w:t xml:space="preserve"> politikáinak és eljárásainak köteles megfelelni, amely alapján a biztosító felel az ügynök jogszabályi megfelelőségéért. Mindezek alapján, az ügynök </w:t>
      </w:r>
      <w:proofErr w:type="spellStart"/>
      <w:r w:rsidRPr="00A07F4E">
        <w:rPr>
          <w:rFonts w:cs="Times New Roman"/>
        </w:rPr>
        <w:t>AML</w:t>
      </w:r>
      <w:proofErr w:type="spellEnd"/>
      <w:r w:rsidRPr="00A07F4E">
        <w:rPr>
          <w:rFonts w:cs="Times New Roman"/>
        </w:rPr>
        <w:t>/</w:t>
      </w:r>
      <w:proofErr w:type="spellStart"/>
      <w:r w:rsidRPr="00A07F4E">
        <w:rPr>
          <w:rFonts w:cs="Times New Roman"/>
        </w:rPr>
        <w:t>CFT</w:t>
      </w:r>
      <w:proofErr w:type="spellEnd"/>
      <w:r w:rsidRPr="00A07F4E">
        <w:rPr>
          <w:rFonts w:cs="Times New Roman"/>
        </w:rPr>
        <w:t xml:space="preserve"> tevékenységét a biztosító segíti, </w:t>
      </w:r>
      <w:r w:rsidR="0013141C" w:rsidRPr="00A07F4E">
        <w:rPr>
          <w:rFonts w:cs="Times New Roman"/>
        </w:rPr>
        <w:t xml:space="preserve">amellyel </w:t>
      </w:r>
      <w:r w:rsidRPr="00A07F4E">
        <w:rPr>
          <w:rFonts w:cs="Times New Roman"/>
        </w:rPr>
        <w:t>a</w:t>
      </w:r>
      <w:r w:rsidR="0013141C" w:rsidRPr="00A07F4E">
        <w:rPr>
          <w:rFonts w:cs="Times New Roman"/>
        </w:rPr>
        <w:t>z</w:t>
      </w:r>
      <w:r w:rsidRPr="00A07F4E">
        <w:rPr>
          <w:rFonts w:cs="Times New Roman"/>
        </w:rPr>
        <w:t xml:space="preserve"> </w:t>
      </w:r>
      <w:r w:rsidR="0013141C" w:rsidRPr="00A07F4E">
        <w:rPr>
          <w:rFonts w:cs="Times New Roman"/>
        </w:rPr>
        <w:t>al</w:t>
      </w:r>
      <w:r w:rsidRPr="00A07F4E">
        <w:rPr>
          <w:rFonts w:cs="Times New Roman"/>
        </w:rPr>
        <w:t xml:space="preserve">szektorban rejlő </w:t>
      </w:r>
      <w:r w:rsidR="0013141C" w:rsidRPr="00A07F4E">
        <w:rPr>
          <w:rFonts w:cs="Times New Roman"/>
        </w:rPr>
        <w:t xml:space="preserve">inherens kockázat is jobban mérséklődik. </w:t>
      </w:r>
      <w:r w:rsidR="00A844C3" w:rsidRPr="00F6504D">
        <w:rPr>
          <w:rFonts w:cs="Times New Roman"/>
        </w:rPr>
        <w:t>A</w:t>
      </w:r>
      <w:r w:rsidR="009B2298" w:rsidRPr="00F6504D">
        <w:rPr>
          <w:rFonts w:cs="Times New Roman"/>
        </w:rPr>
        <w:t>z MNB</w:t>
      </w:r>
      <w:r w:rsidR="00622282">
        <w:rPr>
          <w:rFonts w:cs="Times New Roman"/>
        </w:rPr>
        <w:t xml:space="preserve"> </w:t>
      </w:r>
      <w:r w:rsidR="00A844C3" w:rsidRPr="00A07F4E">
        <w:rPr>
          <w:rFonts w:cs="Times New Roman"/>
        </w:rPr>
        <w:t xml:space="preserve">az alszektor inherens kockázatát Kevésbé jelentősnek értékeli. </w:t>
      </w:r>
    </w:p>
    <w:p w14:paraId="51606432" w14:textId="77777777" w:rsidR="00A844C3" w:rsidRPr="00A07F4E" w:rsidRDefault="00A844C3" w:rsidP="00554380">
      <w:pPr>
        <w:spacing w:after="0" w:line="240" w:lineRule="auto"/>
        <w:rPr>
          <w:rFonts w:cs="Times New Roman"/>
        </w:rPr>
      </w:pPr>
    </w:p>
    <w:tbl>
      <w:tblPr>
        <w:tblW w:w="2760" w:type="dxa"/>
        <w:tblCellMar>
          <w:left w:w="70" w:type="dxa"/>
          <w:right w:w="70" w:type="dxa"/>
        </w:tblCellMar>
        <w:tblLook w:val="04A0" w:firstRow="1" w:lastRow="0" w:firstColumn="1" w:lastColumn="0" w:noHBand="0" w:noVBand="1"/>
      </w:tblPr>
      <w:tblGrid>
        <w:gridCol w:w="1440"/>
        <w:gridCol w:w="1320"/>
      </w:tblGrid>
      <w:tr w:rsidR="00A844C3" w:rsidRPr="00A07F4E" w14:paraId="73022700" w14:textId="77777777" w:rsidTr="009F6E2C">
        <w:trPr>
          <w:trHeight w:val="300"/>
        </w:trPr>
        <w:tc>
          <w:tcPr>
            <w:tcW w:w="1440" w:type="dxa"/>
            <w:tcBorders>
              <w:top w:val="nil"/>
              <w:left w:val="nil"/>
              <w:bottom w:val="nil"/>
              <w:right w:val="nil"/>
            </w:tcBorders>
            <w:shd w:val="clear" w:color="auto" w:fill="auto"/>
            <w:noWrap/>
            <w:vAlign w:val="center"/>
            <w:hideMark/>
          </w:tcPr>
          <w:p w14:paraId="79F0B2AB" w14:textId="77777777" w:rsidR="00A844C3" w:rsidRPr="00A07F4E" w:rsidRDefault="00A844C3" w:rsidP="009F6E2C">
            <w:pPr>
              <w:spacing w:after="0" w:line="240" w:lineRule="auto"/>
              <w:jc w:val="center"/>
              <w:rPr>
                <w:rFonts w:eastAsia="Times New Roman" w:cs="Calibri"/>
                <w:b/>
                <w:bCs/>
                <w:color w:val="000000"/>
                <w:sz w:val="16"/>
                <w:szCs w:val="16"/>
              </w:rPr>
            </w:pPr>
            <w:r w:rsidRPr="00A07F4E">
              <w:rPr>
                <w:rFonts w:eastAsia="Times New Roman" w:cs="Calibri"/>
                <w:b/>
                <w:bCs/>
                <w:color w:val="000000"/>
                <w:sz w:val="16"/>
                <w:szCs w:val="16"/>
              </w:rPr>
              <w:t>Inherens kockázat:</w:t>
            </w:r>
            <w:r w:rsidRPr="00A07F4E">
              <w:rPr>
                <w:rFonts w:eastAsia="Times New Roman" w:cs="Calibri"/>
                <w:color w:val="000000"/>
                <w:sz w:val="16"/>
                <w:szCs w:val="16"/>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034887" w14:textId="77777777" w:rsidR="00A844C3" w:rsidRPr="00A07F4E" w:rsidRDefault="00A844C3" w:rsidP="009F6E2C">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Kevésbé jelentős</w:t>
            </w:r>
          </w:p>
        </w:tc>
      </w:tr>
    </w:tbl>
    <w:p w14:paraId="349F218A" w14:textId="77777777" w:rsidR="00A844C3" w:rsidRPr="00A07F4E" w:rsidRDefault="00A844C3" w:rsidP="00554380">
      <w:pPr>
        <w:spacing w:after="0" w:line="240" w:lineRule="auto"/>
        <w:rPr>
          <w:rFonts w:cs="Times New Roman"/>
        </w:rPr>
      </w:pPr>
    </w:p>
    <w:p w14:paraId="57D66C65" w14:textId="5B9D2C17" w:rsidR="00A844C3" w:rsidRPr="00A07F4E" w:rsidRDefault="00A844C3" w:rsidP="00A844C3">
      <w:pPr>
        <w:spacing w:after="0" w:line="240" w:lineRule="auto"/>
        <w:rPr>
          <w:rFonts w:cs="Times New Roman"/>
        </w:rPr>
      </w:pPr>
      <w:r w:rsidRPr="00A07F4E">
        <w:rPr>
          <w:rFonts w:cs="Times New Roman"/>
        </w:rPr>
        <w:t>A szektor értékelésénél részletezett kockázatcsökkentő intézkedésekre, illetve arra a tényre, hogy folyamatos felügyelés során kockázatot növelő tényező nem jutott a</w:t>
      </w:r>
      <w:r w:rsidR="009B2298">
        <w:rPr>
          <w:rFonts w:cs="Times New Roman"/>
        </w:rPr>
        <w:t>z MNB</w:t>
      </w:r>
      <w:r w:rsidRPr="00A07F4E">
        <w:rPr>
          <w:rFonts w:cs="Times New Roman"/>
        </w:rPr>
        <w:t xml:space="preserve"> tudomására, a biztosítási többes ügynökök alszektorának maradványkockázatát a</w:t>
      </w:r>
      <w:r w:rsidR="009B2298">
        <w:rPr>
          <w:rFonts w:cs="Times New Roman"/>
        </w:rPr>
        <w:t>z MNB</w:t>
      </w:r>
      <w:r w:rsidRPr="00A07F4E">
        <w:rPr>
          <w:rFonts w:cs="Times New Roman"/>
        </w:rPr>
        <w:t xml:space="preserve"> Kevésbé jelentősnek értékeli. </w:t>
      </w:r>
    </w:p>
    <w:p w14:paraId="5809408C" w14:textId="77777777" w:rsidR="00A844C3" w:rsidRPr="00A07F4E" w:rsidRDefault="00A844C3" w:rsidP="00A844C3">
      <w:pPr>
        <w:spacing w:after="0" w:line="240" w:lineRule="auto"/>
        <w:rPr>
          <w:rFonts w:cs="Times New Roman"/>
        </w:rPr>
      </w:pPr>
    </w:p>
    <w:tbl>
      <w:tblPr>
        <w:tblW w:w="2760" w:type="dxa"/>
        <w:tblCellMar>
          <w:left w:w="70" w:type="dxa"/>
          <w:right w:w="70" w:type="dxa"/>
        </w:tblCellMar>
        <w:tblLook w:val="04A0" w:firstRow="1" w:lastRow="0" w:firstColumn="1" w:lastColumn="0" w:noHBand="0" w:noVBand="1"/>
      </w:tblPr>
      <w:tblGrid>
        <w:gridCol w:w="1525"/>
        <w:gridCol w:w="1320"/>
      </w:tblGrid>
      <w:tr w:rsidR="00A844C3" w:rsidRPr="00A07F4E" w14:paraId="1B831BF4" w14:textId="77777777" w:rsidTr="009F6E2C">
        <w:trPr>
          <w:trHeight w:val="300"/>
        </w:trPr>
        <w:tc>
          <w:tcPr>
            <w:tcW w:w="1440" w:type="dxa"/>
            <w:tcBorders>
              <w:top w:val="nil"/>
              <w:left w:val="nil"/>
              <w:bottom w:val="nil"/>
              <w:right w:val="nil"/>
            </w:tcBorders>
            <w:shd w:val="clear" w:color="auto" w:fill="auto"/>
            <w:noWrap/>
            <w:vAlign w:val="center"/>
            <w:hideMark/>
          </w:tcPr>
          <w:p w14:paraId="75FE1D3D" w14:textId="77777777" w:rsidR="00A844C3" w:rsidRPr="00A07F4E" w:rsidRDefault="00A844C3" w:rsidP="009F6E2C">
            <w:pPr>
              <w:spacing w:after="0" w:line="240" w:lineRule="auto"/>
              <w:jc w:val="center"/>
              <w:rPr>
                <w:rFonts w:eastAsia="Times New Roman" w:cs="Calibri"/>
                <w:b/>
                <w:bCs/>
                <w:color w:val="000000"/>
                <w:sz w:val="16"/>
                <w:szCs w:val="16"/>
              </w:rPr>
            </w:pPr>
            <w:r w:rsidRPr="00A07F4E">
              <w:rPr>
                <w:rFonts w:eastAsia="Times New Roman" w:cs="Calibri"/>
                <w:b/>
                <w:bCs/>
                <w:color w:val="000000"/>
                <w:sz w:val="16"/>
                <w:szCs w:val="16"/>
              </w:rPr>
              <w:t>Maradványkockázat:</w:t>
            </w:r>
          </w:p>
        </w:tc>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B499F5" w14:textId="77777777" w:rsidR="00A844C3" w:rsidRPr="00A07F4E" w:rsidRDefault="00A844C3" w:rsidP="009F6E2C">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Kevésbé jelentős</w:t>
            </w:r>
          </w:p>
        </w:tc>
      </w:tr>
    </w:tbl>
    <w:p w14:paraId="0FD43237" w14:textId="245AA500" w:rsidR="00554380" w:rsidRDefault="00554380" w:rsidP="00554380">
      <w:pPr>
        <w:spacing w:after="0" w:line="240" w:lineRule="auto"/>
        <w:rPr>
          <w:rFonts w:cs="Times New Roman"/>
        </w:rPr>
      </w:pPr>
    </w:p>
    <w:p w14:paraId="4478B3C3" w14:textId="6595139C" w:rsidR="00C63813" w:rsidRDefault="00C63813" w:rsidP="00554380">
      <w:pPr>
        <w:spacing w:after="0" w:line="240" w:lineRule="auto"/>
        <w:rPr>
          <w:rFonts w:cs="Times New Roman"/>
        </w:rPr>
      </w:pPr>
    </w:p>
    <w:p w14:paraId="231E245C" w14:textId="5665AB59" w:rsidR="00C63813" w:rsidRDefault="00C63813" w:rsidP="00554380">
      <w:pPr>
        <w:spacing w:after="0" w:line="240" w:lineRule="auto"/>
        <w:rPr>
          <w:rFonts w:cs="Times New Roman"/>
        </w:rPr>
      </w:pPr>
    </w:p>
    <w:p w14:paraId="156B4B94" w14:textId="503F22DD" w:rsidR="00C63813" w:rsidRDefault="00C63813" w:rsidP="00554380">
      <w:pPr>
        <w:spacing w:after="0" w:line="240" w:lineRule="auto"/>
        <w:rPr>
          <w:rFonts w:cs="Times New Roman"/>
        </w:rPr>
      </w:pPr>
    </w:p>
    <w:p w14:paraId="212957AC" w14:textId="77777777" w:rsidR="00C63813" w:rsidRPr="00A07F4E" w:rsidRDefault="00C63813" w:rsidP="00554380">
      <w:pPr>
        <w:spacing w:after="0" w:line="240" w:lineRule="auto"/>
        <w:rPr>
          <w:rFonts w:cs="Times New Roman"/>
        </w:rPr>
      </w:pPr>
    </w:p>
    <w:p w14:paraId="14448979" w14:textId="77777777" w:rsidR="00C63813" w:rsidRDefault="00C63813" w:rsidP="00C63813">
      <w:pPr>
        <w:pStyle w:val="Listaszerbekezds"/>
        <w:numPr>
          <w:ilvl w:val="0"/>
          <w:numId w:val="0"/>
        </w:numPr>
        <w:spacing w:after="0" w:line="240" w:lineRule="auto"/>
        <w:ind w:left="851"/>
        <w:rPr>
          <w:rFonts w:cs="Times New Roman"/>
        </w:rPr>
      </w:pPr>
    </w:p>
    <w:p w14:paraId="5A9721E6" w14:textId="50136CDF" w:rsidR="00535CCE" w:rsidRPr="00A07F4E" w:rsidRDefault="00FC10F8" w:rsidP="00A07F4E">
      <w:pPr>
        <w:pStyle w:val="Listaszerbekezds"/>
        <w:numPr>
          <w:ilvl w:val="0"/>
          <w:numId w:val="197"/>
        </w:numPr>
        <w:spacing w:after="0" w:line="240" w:lineRule="auto"/>
        <w:ind w:left="851" w:hanging="284"/>
        <w:rPr>
          <w:rFonts w:cs="Times New Roman"/>
        </w:rPr>
      </w:pPr>
      <w:r w:rsidRPr="00A07F4E">
        <w:rPr>
          <w:rFonts w:cs="Times New Roman"/>
        </w:rPr>
        <w:lastRenderedPageBreak/>
        <w:t>Biztosításközvetítő fióktelep</w:t>
      </w:r>
      <w:r w:rsidR="00830BDF" w:rsidRPr="00A07F4E">
        <w:rPr>
          <w:rFonts w:cs="Times New Roman"/>
        </w:rPr>
        <w:t xml:space="preserve"> – alszektor</w:t>
      </w:r>
    </w:p>
    <w:p w14:paraId="72FC5E0D" w14:textId="77777777" w:rsidR="00830BDF" w:rsidRPr="00A07F4E" w:rsidRDefault="00830BDF" w:rsidP="00830BDF">
      <w:pPr>
        <w:pStyle w:val="Listaszerbekezds"/>
        <w:numPr>
          <w:ilvl w:val="0"/>
          <w:numId w:val="0"/>
        </w:numPr>
        <w:spacing w:after="0" w:line="240" w:lineRule="auto"/>
        <w:ind w:left="1364"/>
        <w:rPr>
          <w:rFonts w:cs="Times New Roman"/>
        </w:rPr>
      </w:pPr>
    </w:p>
    <w:p w14:paraId="56B10F55" w14:textId="7651C9E6" w:rsidR="00830BDF" w:rsidRPr="00A07F4E" w:rsidRDefault="00830BDF" w:rsidP="00830BDF">
      <w:pPr>
        <w:spacing w:after="0" w:line="240" w:lineRule="auto"/>
        <w:rPr>
          <w:rFonts w:cs="Times New Roman"/>
        </w:rPr>
      </w:pPr>
      <w:r w:rsidRPr="00A07F4E">
        <w:rPr>
          <w:rFonts w:cs="Times New Roman"/>
        </w:rPr>
        <w:t xml:space="preserve">Magyarországon a biztosítási alkusz alszektorban </w:t>
      </w:r>
      <w:r w:rsidR="00FA06B9">
        <w:rPr>
          <w:rFonts w:cs="Times New Roman"/>
        </w:rPr>
        <w:t>1</w:t>
      </w:r>
      <w:r w:rsidR="0022461A" w:rsidRPr="00FC37B3">
        <w:rPr>
          <w:rFonts w:cs="Times New Roman"/>
        </w:rPr>
        <w:t xml:space="preserve"> </w:t>
      </w:r>
      <w:r w:rsidR="00443312" w:rsidRPr="00FC37B3">
        <w:rPr>
          <w:rFonts w:cs="Times New Roman"/>
        </w:rPr>
        <w:t xml:space="preserve">és </w:t>
      </w:r>
      <w:r w:rsidR="0022461A" w:rsidRPr="00FC37B3">
        <w:t>5</w:t>
      </w:r>
      <w:r w:rsidR="00443312" w:rsidRPr="00FC37B3">
        <w:t xml:space="preserve"> közötti számú</w:t>
      </w:r>
      <w:r w:rsidRPr="00A07F4E">
        <w:rPr>
          <w:rFonts w:cs="Times New Roman"/>
        </w:rPr>
        <w:t xml:space="preserve"> szolgáltató tevékenykedik. </w:t>
      </w:r>
    </w:p>
    <w:p w14:paraId="61A61E65" w14:textId="77777777" w:rsidR="00830BDF" w:rsidRPr="00A07F4E" w:rsidRDefault="00830BDF" w:rsidP="00830BDF">
      <w:pPr>
        <w:spacing w:after="0" w:line="240" w:lineRule="auto"/>
        <w:rPr>
          <w:rFonts w:cs="Times New Roman"/>
        </w:rPr>
      </w:pPr>
    </w:p>
    <w:p w14:paraId="3CE905D2" w14:textId="1EE232D3" w:rsidR="00830BDF" w:rsidRPr="00A07F4E" w:rsidRDefault="00830BDF" w:rsidP="00830BDF">
      <w:r w:rsidRPr="00A07F4E">
        <w:t>A biztosításközvetítő fióktelepek összetettségét</w:t>
      </w:r>
      <w:r w:rsidR="00163881" w:rsidRPr="00A07F4E">
        <w:t xml:space="preserve"> </w:t>
      </w:r>
      <w:r w:rsidR="001727FE" w:rsidRPr="00A07F4E">
        <w:t>vizsgálva megállapítható, hogy</w:t>
      </w:r>
      <w:r w:rsidRPr="00A07F4E">
        <w:t xml:space="preserve"> </w:t>
      </w:r>
      <w:r w:rsidR="00163881" w:rsidRPr="00A07F4E">
        <w:t>jellemzően azon szolgáltatók találhatóak ezen alszektorban</w:t>
      </w:r>
      <w:r w:rsidRPr="00A07F4E">
        <w:t>, amely</w:t>
      </w:r>
      <w:r w:rsidR="00163881" w:rsidRPr="00A07F4E">
        <w:t>ek</w:t>
      </w:r>
      <w:r w:rsidRPr="00A07F4E">
        <w:t xml:space="preserve">nek az anyavállalata más tagállamban került engedélyezésre. Ezen tulajdonosi struktúra, külföldi érdekeltség </w:t>
      </w:r>
      <w:r w:rsidR="00163881" w:rsidRPr="00A07F4E">
        <w:t>a külföldi kockázati tényezőket befolyásolhatja</w:t>
      </w:r>
      <w:r w:rsidR="00B93617" w:rsidRPr="00A07F4E">
        <w:t>, a</w:t>
      </w:r>
      <w:r w:rsidR="00163881" w:rsidRPr="00A07F4E">
        <w:t>zonban valamennyi</w:t>
      </w:r>
      <w:r w:rsidR="001727FE" w:rsidRPr="00A07F4E">
        <w:t xml:space="preserve"> </w:t>
      </w:r>
      <w:r w:rsidR="00163881" w:rsidRPr="00A07F4E">
        <w:t>biztosításközvetítő fióktelep anyavállalata az EU területén található, így a tagországok közötti szabályozást tekintve</w:t>
      </w:r>
      <w:r w:rsidR="00B93617" w:rsidRPr="00A07F4E">
        <w:t xml:space="preserve"> </w:t>
      </w:r>
      <w:r w:rsidR="001727FE" w:rsidRPr="00A07F4E">
        <w:t xml:space="preserve">eltérés – összehasonlítva harmadik országokhoz kapcsolódó kockázatokkal és ide nem értve </w:t>
      </w:r>
      <w:r w:rsidR="001512F4" w:rsidRPr="00A07F4E">
        <w:t xml:space="preserve">az </w:t>
      </w:r>
      <w:r w:rsidR="001512F4" w:rsidRPr="008A09BA">
        <w:t>Irányelv</w:t>
      </w:r>
      <w:r w:rsidR="001512F4" w:rsidRPr="00A07F4E">
        <w:t xml:space="preserve"> átültetéséből származó kisebb anomáliákat</w:t>
      </w:r>
      <w:r w:rsidR="00B93617" w:rsidRPr="00A07F4E">
        <w:t xml:space="preserve"> –</w:t>
      </w:r>
      <w:r w:rsidR="001727FE" w:rsidRPr="00A07F4E">
        <w:t xml:space="preserve"> </w:t>
      </w:r>
      <w:r w:rsidR="001512F4" w:rsidRPr="00A07F4E">
        <w:t>nem tapasztalható</w:t>
      </w:r>
      <w:r w:rsidR="00B93617" w:rsidRPr="00A07F4E">
        <w:t>, különös tekintettel arra</w:t>
      </w:r>
      <w:r w:rsidR="00D51914" w:rsidRPr="00A07F4E">
        <w:t xml:space="preserve"> a tényre is</w:t>
      </w:r>
      <w:r w:rsidR="00B93617" w:rsidRPr="00A07F4E">
        <w:t xml:space="preserve">, hogy a fióktelepek önálló entitásként a </w:t>
      </w:r>
      <w:proofErr w:type="spellStart"/>
      <w:r w:rsidR="00B93617" w:rsidRPr="00A07F4E">
        <w:t>Pmt</w:t>
      </w:r>
      <w:proofErr w:type="spellEnd"/>
      <w:r w:rsidR="00B93617" w:rsidRPr="00A07F4E">
        <w:t xml:space="preserve">. hatálya alá tartoznak, </w:t>
      </w:r>
      <w:r w:rsidR="001727FE" w:rsidRPr="00A07F4E">
        <w:t>azaz</w:t>
      </w:r>
      <w:r w:rsidR="00B93617" w:rsidRPr="00A07F4E">
        <w:t xml:space="preserve"> a fióktelepek</w:t>
      </w:r>
      <w:r w:rsidR="009B2298">
        <w:t>re</w:t>
      </w:r>
      <w:r w:rsidR="00B93617" w:rsidRPr="00A07F4E">
        <w:t xml:space="preserve"> a magyar szabályozás az irányadó. </w:t>
      </w:r>
      <w:r w:rsidR="009B2298">
        <w:t>E</w:t>
      </w:r>
      <w:r w:rsidR="00B93617" w:rsidRPr="00A07F4E">
        <w:t xml:space="preserve">rre tekintettel, a földrajzi kitettséget </w:t>
      </w:r>
      <w:r w:rsidR="001727FE" w:rsidRPr="00A07F4E">
        <w:t>vizsgálva</w:t>
      </w:r>
      <w:r w:rsidR="00B93617" w:rsidRPr="00A07F4E">
        <w:t xml:space="preserve"> kockázatot növelő tényező nem jelenik meg, így az alszektor inherens kockázata </w:t>
      </w:r>
      <w:r w:rsidR="009B2298">
        <w:t>az MNB</w:t>
      </w:r>
      <w:r w:rsidR="00B93617" w:rsidRPr="0042268B">
        <w:rPr>
          <w:highlight w:val="yellow"/>
        </w:rPr>
        <w:t xml:space="preserve"> </w:t>
      </w:r>
      <w:r w:rsidR="00B93617" w:rsidRPr="00F6504D">
        <w:t>értékelése</w:t>
      </w:r>
      <w:r w:rsidR="00B93617" w:rsidRPr="00A07F4E">
        <w:t xml:space="preserve"> alapján</w:t>
      </w:r>
      <w:r w:rsidR="009E6734" w:rsidRPr="00A07F4E">
        <w:t>, a szektor inherens kockázati értékével megegyezően</w:t>
      </w:r>
      <w:r w:rsidR="00B93617" w:rsidRPr="00A07F4E">
        <w:t xml:space="preserve"> Kevésbe jelentős. </w:t>
      </w:r>
    </w:p>
    <w:tbl>
      <w:tblPr>
        <w:tblW w:w="2760" w:type="dxa"/>
        <w:tblCellMar>
          <w:left w:w="70" w:type="dxa"/>
          <w:right w:w="70" w:type="dxa"/>
        </w:tblCellMar>
        <w:tblLook w:val="04A0" w:firstRow="1" w:lastRow="0" w:firstColumn="1" w:lastColumn="0" w:noHBand="0" w:noVBand="1"/>
      </w:tblPr>
      <w:tblGrid>
        <w:gridCol w:w="1440"/>
        <w:gridCol w:w="1320"/>
      </w:tblGrid>
      <w:tr w:rsidR="00B93617" w:rsidRPr="00A07F4E" w14:paraId="1F3377C3" w14:textId="77777777" w:rsidTr="009F6E2C">
        <w:trPr>
          <w:trHeight w:val="300"/>
        </w:trPr>
        <w:tc>
          <w:tcPr>
            <w:tcW w:w="1440" w:type="dxa"/>
            <w:tcBorders>
              <w:top w:val="nil"/>
              <w:left w:val="nil"/>
              <w:bottom w:val="nil"/>
              <w:right w:val="nil"/>
            </w:tcBorders>
            <w:shd w:val="clear" w:color="auto" w:fill="auto"/>
            <w:noWrap/>
            <w:vAlign w:val="center"/>
            <w:hideMark/>
          </w:tcPr>
          <w:p w14:paraId="5291302A" w14:textId="77777777" w:rsidR="00B93617" w:rsidRPr="00A07F4E" w:rsidRDefault="00B93617" w:rsidP="009F6E2C">
            <w:pPr>
              <w:spacing w:after="0" w:line="240" w:lineRule="auto"/>
              <w:jc w:val="center"/>
              <w:rPr>
                <w:rFonts w:eastAsia="Times New Roman" w:cs="Calibri"/>
                <w:b/>
                <w:bCs/>
                <w:color w:val="000000"/>
                <w:sz w:val="16"/>
                <w:szCs w:val="16"/>
              </w:rPr>
            </w:pPr>
            <w:r w:rsidRPr="00A07F4E">
              <w:rPr>
                <w:rFonts w:eastAsia="Times New Roman" w:cs="Calibri"/>
                <w:b/>
                <w:bCs/>
                <w:color w:val="000000"/>
                <w:sz w:val="16"/>
                <w:szCs w:val="16"/>
              </w:rPr>
              <w:t>Inherens kockázat:</w:t>
            </w:r>
            <w:r w:rsidRPr="00A07F4E">
              <w:rPr>
                <w:rFonts w:eastAsia="Times New Roman" w:cs="Calibri"/>
                <w:color w:val="000000"/>
                <w:sz w:val="16"/>
                <w:szCs w:val="16"/>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6F1A429" w14:textId="77777777" w:rsidR="00B93617" w:rsidRPr="00A07F4E" w:rsidRDefault="00B93617" w:rsidP="009F6E2C">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Kevésbé jelentős</w:t>
            </w:r>
          </w:p>
        </w:tc>
      </w:tr>
    </w:tbl>
    <w:p w14:paraId="14863687" w14:textId="77777777" w:rsidR="00220E8C" w:rsidRPr="00A07F4E" w:rsidRDefault="00220E8C" w:rsidP="00220E8C">
      <w:pPr>
        <w:spacing w:after="0" w:line="240" w:lineRule="auto"/>
        <w:rPr>
          <w:rFonts w:cs="Times New Roman"/>
        </w:rPr>
      </w:pPr>
    </w:p>
    <w:p w14:paraId="0C796767" w14:textId="77777777" w:rsidR="00B45A9B" w:rsidRDefault="00B45A9B" w:rsidP="00220E8C">
      <w:pPr>
        <w:spacing w:after="0" w:line="240" w:lineRule="auto"/>
        <w:rPr>
          <w:rFonts w:cs="Times New Roman"/>
        </w:rPr>
      </w:pPr>
    </w:p>
    <w:p w14:paraId="7BE6A5D7" w14:textId="3B9634EE" w:rsidR="00220E8C" w:rsidRPr="00A07F4E" w:rsidRDefault="00220E8C" w:rsidP="00FC37B3">
      <w:pPr>
        <w:rPr>
          <w:rFonts w:cs="Times New Roman"/>
        </w:rPr>
      </w:pPr>
      <w:r w:rsidRPr="00A07F4E">
        <w:rPr>
          <w:rFonts w:cs="Times New Roman"/>
        </w:rPr>
        <w:t>A szektor értékelésénél részletezett kockázatcsökkentő intézkedésekre, illetve arra a tényre, hogy folyamatos felügyelés során kockázatot növelő tényező nem jutott a</w:t>
      </w:r>
      <w:r w:rsidR="00766778" w:rsidRPr="00766778">
        <w:rPr>
          <w:rFonts w:cs="Times New Roman"/>
        </w:rPr>
        <w:t>z MNB</w:t>
      </w:r>
      <w:r w:rsidRPr="00F6504D">
        <w:rPr>
          <w:rFonts w:cs="Times New Roman"/>
        </w:rPr>
        <w:t xml:space="preserve"> tudomására</w:t>
      </w:r>
      <w:r w:rsidRPr="00A07F4E">
        <w:rPr>
          <w:rFonts w:cs="Times New Roman"/>
        </w:rPr>
        <w:t xml:space="preserve">, a </w:t>
      </w:r>
      <w:r w:rsidR="00B57F9F" w:rsidRPr="00A07F4E">
        <w:rPr>
          <w:rFonts w:cs="Times New Roman"/>
        </w:rPr>
        <w:t>biztosításközvetítő fióktelep</w:t>
      </w:r>
      <w:r w:rsidRPr="00A07F4E">
        <w:rPr>
          <w:rFonts w:cs="Times New Roman"/>
        </w:rPr>
        <w:t xml:space="preserve"> alszektorának maradványkockázatát </w:t>
      </w:r>
      <w:r w:rsidRPr="00F6504D">
        <w:rPr>
          <w:rFonts w:cs="Times New Roman"/>
        </w:rPr>
        <w:t>a</w:t>
      </w:r>
      <w:r w:rsidR="00766778" w:rsidRPr="00F6504D">
        <w:rPr>
          <w:rFonts w:cs="Times New Roman"/>
        </w:rPr>
        <w:t>z MNB</w:t>
      </w:r>
      <w:r>
        <w:rPr>
          <w:rFonts w:cs="Times New Roman"/>
        </w:rPr>
        <w:t xml:space="preserve"> </w:t>
      </w:r>
      <w:r w:rsidRPr="00A07F4E">
        <w:rPr>
          <w:rFonts w:cs="Times New Roman"/>
        </w:rPr>
        <w:t xml:space="preserve">Kevésbé jelentősnek értékeli. </w:t>
      </w:r>
    </w:p>
    <w:p w14:paraId="5A753046" w14:textId="77777777" w:rsidR="00220E8C" w:rsidRPr="00A07F4E" w:rsidRDefault="00220E8C" w:rsidP="00220E8C">
      <w:pPr>
        <w:spacing w:after="0" w:line="240" w:lineRule="auto"/>
        <w:rPr>
          <w:rFonts w:cs="Times New Roman"/>
        </w:rPr>
      </w:pPr>
    </w:p>
    <w:tbl>
      <w:tblPr>
        <w:tblW w:w="2845" w:type="dxa"/>
        <w:tblCellMar>
          <w:left w:w="70" w:type="dxa"/>
          <w:right w:w="70" w:type="dxa"/>
        </w:tblCellMar>
        <w:tblLook w:val="04A0" w:firstRow="1" w:lastRow="0" w:firstColumn="1" w:lastColumn="0" w:noHBand="0" w:noVBand="1"/>
      </w:tblPr>
      <w:tblGrid>
        <w:gridCol w:w="1525"/>
        <w:gridCol w:w="1320"/>
      </w:tblGrid>
      <w:tr w:rsidR="00220E8C" w:rsidRPr="00A07F4E" w14:paraId="1592E501" w14:textId="77777777" w:rsidTr="0071418A">
        <w:trPr>
          <w:trHeight w:val="300"/>
        </w:trPr>
        <w:tc>
          <w:tcPr>
            <w:tcW w:w="1525" w:type="dxa"/>
            <w:tcBorders>
              <w:top w:val="nil"/>
              <w:left w:val="nil"/>
              <w:bottom w:val="nil"/>
              <w:right w:val="nil"/>
            </w:tcBorders>
            <w:shd w:val="clear" w:color="auto" w:fill="auto"/>
            <w:noWrap/>
            <w:vAlign w:val="center"/>
            <w:hideMark/>
          </w:tcPr>
          <w:p w14:paraId="5CC9E158" w14:textId="77777777" w:rsidR="00220E8C" w:rsidRPr="00A07F4E" w:rsidRDefault="00220E8C" w:rsidP="009F6E2C">
            <w:pPr>
              <w:spacing w:after="0" w:line="240" w:lineRule="auto"/>
              <w:jc w:val="center"/>
              <w:rPr>
                <w:rFonts w:eastAsia="Times New Roman" w:cs="Calibri"/>
                <w:b/>
                <w:bCs/>
                <w:color w:val="000000"/>
                <w:sz w:val="16"/>
                <w:szCs w:val="16"/>
              </w:rPr>
            </w:pPr>
            <w:r w:rsidRPr="00A07F4E">
              <w:rPr>
                <w:rFonts w:eastAsia="Times New Roman" w:cs="Calibri"/>
                <w:b/>
                <w:bCs/>
                <w:color w:val="000000"/>
                <w:sz w:val="16"/>
                <w:szCs w:val="16"/>
              </w:rPr>
              <w:t>Maradványkockázat:</w:t>
            </w:r>
          </w:p>
        </w:tc>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7D6C6BC" w14:textId="77777777" w:rsidR="00220E8C" w:rsidRPr="00A07F4E" w:rsidRDefault="00220E8C" w:rsidP="009F6E2C">
            <w:pPr>
              <w:spacing w:after="0" w:line="240" w:lineRule="auto"/>
              <w:jc w:val="center"/>
              <w:rPr>
                <w:rFonts w:eastAsia="Times New Roman" w:cs="Calibri"/>
                <w:color w:val="000000"/>
                <w:sz w:val="16"/>
                <w:szCs w:val="16"/>
              </w:rPr>
            </w:pPr>
            <w:r w:rsidRPr="00A07F4E">
              <w:rPr>
                <w:rFonts w:eastAsia="Times New Roman" w:cs="Calibri"/>
                <w:color w:val="000000"/>
                <w:sz w:val="16"/>
                <w:szCs w:val="16"/>
              </w:rPr>
              <w:t>Kevésbé jelentős</w:t>
            </w:r>
          </w:p>
        </w:tc>
      </w:tr>
    </w:tbl>
    <w:p w14:paraId="3F680E83" w14:textId="77777777" w:rsidR="0071418A" w:rsidRPr="00A07F4E" w:rsidRDefault="0071418A" w:rsidP="0071418A"/>
    <w:p w14:paraId="16018571" w14:textId="77777777" w:rsidR="0071418A" w:rsidRPr="00A07F4E" w:rsidRDefault="0071418A" w:rsidP="00A07F4E">
      <w:pPr>
        <w:pStyle w:val="Cmsor3"/>
        <w:numPr>
          <w:ilvl w:val="0"/>
          <w:numId w:val="146"/>
        </w:numPr>
      </w:pPr>
      <w:bookmarkStart w:id="281" w:name="_Toc109906071"/>
      <w:r w:rsidRPr="00A07F4E">
        <w:t>Maradványkockázat</w:t>
      </w:r>
      <w:bookmarkEnd w:id="281"/>
    </w:p>
    <w:p w14:paraId="53690F53" w14:textId="58F3E478" w:rsidR="0071418A" w:rsidRPr="00A07F4E" w:rsidRDefault="0071418A" w:rsidP="0071418A">
      <w:r w:rsidRPr="00F6504D">
        <w:t>A</w:t>
      </w:r>
      <w:r w:rsidR="00766778" w:rsidRPr="00766778">
        <w:t>z MNB</w:t>
      </w:r>
      <w:r w:rsidRPr="00A07F4E">
        <w:t xml:space="preserve"> mérlegelve a szektornál és az alszektoroknál részletezetteket a maradványkockázatot Kevésbé jelentősnek értékeli. Az inherens kockázati besorolás megegyezik a maradványkockázattal.</w:t>
      </w:r>
    </w:p>
    <w:tbl>
      <w:tblPr>
        <w:tblW w:w="3680" w:type="dxa"/>
        <w:jc w:val="center"/>
        <w:tblCellMar>
          <w:left w:w="70" w:type="dxa"/>
          <w:right w:w="70" w:type="dxa"/>
        </w:tblCellMar>
        <w:tblLook w:val="04A0" w:firstRow="1" w:lastRow="0" w:firstColumn="1" w:lastColumn="0" w:noHBand="0" w:noVBand="1"/>
      </w:tblPr>
      <w:tblGrid>
        <w:gridCol w:w="1871"/>
        <w:gridCol w:w="1900"/>
      </w:tblGrid>
      <w:tr w:rsidR="0071418A" w:rsidRPr="00A07F4E" w14:paraId="4958B077" w14:textId="77777777" w:rsidTr="009F6E2C">
        <w:trPr>
          <w:trHeight w:val="300"/>
          <w:jc w:val="center"/>
        </w:trPr>
        <w:tc>
          <w:tcPr>
            <w:tcW w:w="1780" w:type="dxa"/>
            <w:tcBorders>
              <w:top w:val="nil"/>
              <w:left w:val="nil"/>
              <w:bottom w:val="nil"/>
              <w:right w:val="nil"/>
            </w:tcBorders>
            <w:shd w:val="clear" w:color="auto" w:fill="auto"/>
            <w:noWrap/>
            <w:vAlign w:val="center"/>
            <w:hideMark/>
          </w:tcPr>
          <w:p w14:paraId="007DC3BD" w14:textId="77777777" w:rsidR="0071418A" w:rsidRPr="00A07F4E" w:rsidRDefault="0071418A" w:rsidP="009F6E2C">
            <w:pPr>
              <w:spacing w:after="0" w:line="240" w:lineRule="auto"/>
              <w:jc w:val="center"/>
              <w:rPr>
                <w:rFonts w:eastAsia="Times New Roman" w:cs="Calibri"/>
                <w:b/>
                <w:bCs/>
                <w:color w:val="000000"/>
              </w:rPr>
            </w:pPr>
            <w:r w:rsidRPr="00A07F4E">
              <w:rPr>
                <w:rFonts w:eastAsia="Times New Roman" w:cs="Calibri"/>
                <w:b/>
                <w:bCs/>
                <w:color w:val="000000"/>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CAE24E" w14:textId="77777777" w:rsidR="0071418A" w:rsidRPr="00A07F4E" w:rsidRDefault="0071418A" w:rsidP="009F6E2C">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r>
    </w:tbl>
    <w:p w14:paraId="630F0F3A" w14:textId="22DF2206" w:rsidR="00BA6306" w:rsidRPr="00A07F4E" w:rsidRDefault="00097DA8" w:rsidP="000222BD">
      <w:pPr>
        <w:pStyle w:val="Cmsor2"/>
        <w:rPr>
          <w:bCs/>
        </w:rPr>
      </w:pPr>
      <w:bookmarkStart w:id="282" w:name="_Toc109906072"/>
      <w:bookmarkStart w:id="283" w:name="_Hlk70952479"/>
      <w:bookmarkEnd w:id="271"/>
      <w:r w:rsidRPr="00A07F4E">
        <w:t>Bizalmi vagyonkezelő</w:t>
      </w:r>
      <w:r w:rsidR="001F7CF7">
        <w:t>k</w:t>
      </w:r>
      <w:r w:rsidR="001F7CF7">
        <w:rPr>
          <w:rStyle w:val="Lbjegyzet-hivatkozs"/>
        </w:rPr>
        <w:footnoteReference w:id="29"/>
      </w:r>
      <w:bookmarkEnd w:id="282"/>
    </w:p>
    <w:p w14:paraId="53C816C9" w14:textId="77777777" w:rsidR="00BA6306" w:rsidRPr="00A07F4E" w:rsidRDefault="00BA6306" w:rsidP="00A07F4E">
      <w:pPr>
        <w:pStyle w:val="Cmsor3"/>
        <w:numPr>
          <w:ilvl w:val="0"/>
          <w:numId w:val="155"/>
        </w:numPr>
      </w:pPr>
      <w:bookmarkStart w:id="284" w:name="_Toc109906073"/>
      <w:r w:rsidRPr="00A07F4E">
        <w:t>A szektor méretére, tevékenységi körére és összetettségére vonatkozó információk összesített formában</w:t>
      </w:r>
      <w:bookmarkEnd w:id="284"/>
    </w:p>
    <w:p w14:paraId="3E1EFA61" w14:textId="34641D6C" w:rsidR="009B7D07" w:rsidRDefault="00BA6306" w:rsidP="009B7D07">
      <w:r w:rsidRPr="00A07F4E">
        <w:t xml:space="preserve">Magyarországon a bizalmi vagyonkezeléssel </w:t>
      </w:r>
      <w:r w:rsidR="00B9261D" w:rsidRPr="009F3A30">
        <w:t xml:space="preserve">foglalkozó, szerződéssel rendelkező személyek </w:t>
      </w:r>
      <w:r w:rsidR="00B9261D" w:rsidRPr="00D5186E">
        <w:t xml:space="preserve">száma </w:t>
      </w:r>
      <w:r w:rsidR="00DE3176" w:rsidRPr="00FC37B3">
        <w:t xml:space="preserve">630 </w:t>
      </w:r>
      <w:r w:rsidR="00254DA1" w:rsidRPr="00FC37B3">
        <w:t xml:space="preserve">és </w:t>
      </w:r>
      <w:r w:rsidR="008817A0" w:rsidRPr="00FC37B3">
        <w:t>700</w:t>
      </w:r>
      <w:r w:rsidR="00254DA1" w:rsidRPr="00FC37B3">
        <w:t xml:space="preserve"> közöttire</w:t>
      </w:r>
      <w:r w:rsidR="00B9261D" w:rsidRPr="00FC37B3">
        <w:t xml:space="preserve"> </w:t>
      </w:r>
      <w:r w:rsidR="00B9261D" w:rsidRPr="00D5186E">
        <w:t xml:space="preserve">tehető. </w:t>
      </w:r>
      <w:r w:rsidR="009B7D07" w:rsidRPr="00D5186E">
        <w:t>Ezek közül az üzletszerű bizalmi vagyonkezeléssel foglalkozó szolgáltatók száma</w:t>
      </w:r>
      <w:r w:rsidR="00B9261D" w:rsidRPr="00D5186E">
        <w:t xml:space="preserve"> </w:t>
      </w:r>
      <w:r w:rsidR="008817A0" w:rsidRPr="00D5186E">
        <w:t>10-15 közötti</w:t>
      </w:r>
      <w:r w:rsidR="009B7D07" w:rsidRPr="00D5186E">
        <w:t xml:space="preserve">, míg nem üzletszerű bizalmi vagyonkezeléssel foglalkozó </w:t>
      </w:r>
      <w:r w:rsidR="00803C58" w:rsidRPr="00D5186E">
        <w:t xml:space="preserve">szereplők </w:t>
      </w:r>
      <w:r w:rsidR="009B7D07" w:rsidRPr="00D5186E">
        <w:t>száma</w:t>
      </w:r>
      <w:r w:rsidR="00803C58" w:rsidRPr="00D5186E">
        <w:t xml:space="preserve"> </w:t>
      </w:r>
      <w:r w:rsidR="00803C58" w:rsidRPr="00FC37B3">
        <w:t xml:space="preserve">több, mint </w:t>
      </w:r>
      <w:r w:rsidR="008817A0" w:rsidRPr="00FC37B3">
        <w:t>620</w:t>
      </w:r>
      <w:r w:rsidR="00B9261D" w:rsidRPr="00FC37B3">
        <w:t>.</w:t>
      </w:r>
    </w:p>
    <w:p w14:paraId="6A1E49B4" w14:textId="48E10E1A" w:rsidR="008B0AA7" w:rsidRDefault="008B0AA7" w:rsidP="008B0AA7">
      <w:r>
        <w:t>A MNB</w:t>
      </w:r>
      <w:r w:rsidRPr="00A07F4E">
        <w:t xml:space="preserve"> a termékekben/szolgáltatásokban, az ügyfelekben, a földrajzi kitettségben és az értékesítési csatornákban rejlő kockázatokat egyaránt </w:t>
      </w:r>
      <w:r>
        <w:t xml:space="preserve">Nagyon </w:t>
      </w:r>
      <w:r w:rsidRPr="00A07F4E">
        <w:t xml:space="preserve">jelentősnek értékelte.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8B0AA7" w:rsidRPr="003168BA" w14:paraId="07A2BBB4" w14:textId="77777777" w:rsidTr="00300DCA">
        <w:trPr>
          <w:trHeight w:val="314"/>
        </w:trPr>
        <w:tc>
          <w:tcPr>
            <w:tcW w:w="3061" w:type="dxa"/>
          </w:tcPr>
          <w:p w14:paraId="26FE76BA" w14:textId="77777777" w:rsidR="008B0AA7" w:rsidRPr="00554E41" w:rsidRDefault="008B0AA7"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0B1D8C79" w14:textId="77777777" w:rsidR="008B0AA7" w:rsidRPr="00554E41" w:rsidRDefault="008B0AA7"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8B0AA7" w:rsidRPr="003168BA" w14:paraId="4D4D568C" w14:textId="77777777" w:rsidTr="000222BD">
        <w:tc>
          <w:tcPr>
            <w:tcW w:w="3061" w:type="dxa"/>
            <w:shd w:val="clear" w:color="auto" w:fill="auto"/>
          </w:tcPr>
          <w:p w14:paraId="09078F48" w14:textId="77777777" w:rsidR="008B0AA7" w:rsidRPr="00554E41" w:rsidRDefault="008B0AA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FF0000"/>
          </w:tcPr>
          <w:p w14:paraId="02107B0D" w14:textId="7380BC88" w:rsidR="008B0AA7" w:rsidRPr="00554E41" w:rsidRDefault="008B0AA7"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Nagyon jelentős</w:t>
            </w:r>
          </w:p>
        </w:tc>
      </w:tr>
      <w:tr w:rsidR="008B0AA7" w14:paraId="1F18D98C" w14:textId="77777777" w:rsidTr="000222BD">
        <w:tc>
          <w:tcPr>
            <w:tcW w:w="3061" w:type="dxa"/>
            <w:shd w:val="clear" w:color="auto" w:fill="auto"/>
          </w:tcPr>
          <w:p w14:paraId="2AFE14E0" w14:textId="77777777" w:rsidR="008B0AA7" w:rsidRPr="00554E41" w:rsidRDefault="008B0AA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FF0000"/>
          </w:tcPr>
          <w:p w14:paraId="7073A1F3" w14:textId="5BC8EFD6" w:rsidR="008B0AA7" w:rsidRPr="00554E41" w:rsidRDefault="008B0AA7"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Nagyon jelentős</w:t>
            </w:r>
          </w:p>
        </w:tc>
      </w:tr>
      <w:tr w:rsidR="008B0AA7" w14:paraId="7DB6FD2D" w14:textId="77777777" w:rsidTr="000222BD">
        <w:trPr>
          <w:trHeight w:val="50"/>
        </w:trPr>
        <w:tc>
          <w:tcPr>
            <w:tcW w:w="3061" w:type="dxa"/>
            <w:shd w:val="clear" w:color="auto" w:fill="auto"/>
          </w:tcPr>
          <w:p w14:paraId="175E837D" w14:textId="77777777" w:rsidR="008B0AA7" w:rsidRPr="00554E41" w:rsidRDefault="008B0AA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Földrajzi</w:t>
            </w:r>
          </w:p>
        </w:tc>
        <w:tc>
          <w:tcPr>
            <w:tcW w:w="3035" w:type="dxa"/>
            <w:shd w:val="clear" w:color="auto" w:fill="FF0000"/>
          </w:tcPr>
          <w:p w14:paraId="1FE70BA8" w14:textId="72D610D7" w:rsidR="008B0AA7" w:rsidRPr="00554E41" w:rsidRDefault="008B0AA7"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Nagyon jelentős</w:t>
            </w:r>
          </w:p>
        </w:tc>
      </w:tr>
      <w:tr w:rsidR="008B0AA7" w14:paraId="1394F941" w14:textId="77777777" w:rsidTr="000222BD">
        <w:tc>
          <w:tcPr>
            <w:tcW w:w="3061" w:type="dxa"/>
            <w:shd w:val="clear" w:color="auto" w:fill="auto"/>
          </w:tcPr>
          <w:p w14:paraId="701B9CAF" w14:textId="77777777" w:rsidR="008B0AA7" w:rsidRPr="00554E41" w:rsidRDefault="008B0AA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FF0000"/>
          </w:tcPr>
          <w:p w14:paraId="6E56D0CB" w14:textId="1CC343EA" w:rsidR="008B0AA7" w:rsidRPr="00554E41" w:rsidRDefault="008B0AA7"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Nagyon jelentős</w:t>
            </w:r>
          </w:p>
        </w:tc>
      </w:tr>
    </w:tbl>
    <w:p w14:paraId="08E4AFAD" w14:textId="77777777" w:rsidR="001203CB" w:rsidRDefault="001203CB" w:rsidP="009B7D07"/>
    <w:p w14:paraId="45784184" w14:textId="1F04740C" w:rsidR="009B7D07" w:rsidRPr="00A07F4E" w:rsidRDefault="009B7D07" w:rsidP="009B7D07">
      <w:r w:rsidRPr="00A07F4E">
        <w:lastRenderedPageBreak/>
        <w:t>A szektoron belül a tevékenységnek megfelelően</w:t>
      </w:r>
      <w:r w:rsidR="00176488" w:rsidRPr="009F3A30">
        <w:t>, az üzletszerűséget figyelembe véve</w:t>
      </w:r>
      <w:r w:rsidRPr="00A07F4E">
        <w:t xml:space="preserve"> két alszektor került kialakításra: </w:t>
      </w:r>
    </w:p>
    <w:p w14:paraId="31763C78" w14:textId="77777777" w:rsidR="009B7D07" w:rsidRPr="00A07F4E" w:rsidRDefault="009B7D07" w:rsidP="007A1308">
      <w:pPr>
        <w:pStyle w:val="Listaszerbekezds"/>
        <w:numPr>
          <w:ilvl w:val="0"/>
          <w:numId w:val="24"/>
        </w:numPr>
      </w:pPr>
      <w:r w:rsidRPr="00A07F4E">
        <w:t>üzletszerű bizalmi vagyonkezelő</w:t>
      </w:r>
      <w:r w:rsidR="00176488" w:rsidRPr="009F3A30">
        <w:t>i alszektor</w:t>
      </w:r>
    </w:p>
    <w:p w14:paraId="1FFAA76E" w14:textId="5A52FC07" w:rsidR="00097DA8" w:rsidRDefault="009B7D07">
      <w:pPr>
        <w:pStyle w:val="Listaszerbekezds"/>
        <w:numPr>
          <w:ilvl w:val="0"/>
          <w:numId w:val="24"/>
        </w:numPr>
      </w:pPr>
      <w:r w:rsidRPr="00A07F4E">
        <w:t>nem üzletszerű bizalmi vagyonkezelő</w:t>
      </w:r>
      <w:r w:rsidR="00176488" w:rsidRPr="009F3A30">
        <w:t>i alszektor</w:t>
      </w:r>
    </w:p>
    <w:p w14:paraId="6DF5E6A6" w14:textId="77777777" w:rsidR="00863CDC" w:rsidRPr="00A07F4E" w:rsidRDefault="00097DA8" w:rsidP="00A07F4E">
      <w:pPr>
        <w:pStyle w:val="Cmsor3"/>
        <w:numPr>
          <w:ilvl w:val="0"/>
          <w:numId w:val="155"/>
        </w:numPr>
      </w:pPr>
      <w:bookmarkStart w:id="285" w:name="_Toc109906074"/>
      <w:r w:rsidRPr="00A07F4E">
        <w:t>Inherens kockázatértékelés</w:t>
      </w:r>
      <w:bookmarkEnd w:id="285"/>
    </w:p>
    <w:p w14:paraId="0D9E5748" w14:textId="77777777" w:rsidR="00BA6306" w:rsidRPr="00A07F4E" w:rsidRDefault="00BA6306" w:rsidP="00A07F4E">
      <w:pPr>
        <w:pStyle w:val="Listaszerbekezds"/>
        <w:numPr>
          <w:ilvl w:val="1"/>
          <w:numId w:val="23"/>
        </w:numPr>
        <w:ind w:left="851" w:hanging="284"/>
      </w:pPr>
      <w:r w:rsidRPr="00A07F4E">
        <w:t xml:space="preserve">A </w:t>
      </w:r>
      <w:r w:rsidR="009B7D07" w:rsidRPr="00A07F4E">
        <w:t>bizalmi vagyonkezelői</w:t>
      </w:r>
      <w:r w:rsidRPr="00A07F4E">
        <w:t xml:space="preserve"> szektorban rejlő ML/</w:t>
      </w:r>
      <w:proofErr w:type="spellStart"/>
      <w:r w:rsidRPr="00A07F4E">
        <w:t>TF</w:t>
      </w:r>
      <w:proofErr w:type="spellEnd"/>
      <w:r w:rsidRPr="00A07F4E">
        <w:t xml:space="preserve"> kockázati tényezők</w:t>
      </w:r>
    </w:p>
    <w:p w14:paraId="55091272" w14:textId="40F13A2F" w:rsidR="008B0AA7" w:rsidRDefault="00863CDC" w:rsidP="00D5316C">
      <w:pPr>
        <w:spacing w:before="120" w:after="120"/>
      </w:pPr>
      <w:r w:rsidRPr="000222BD">
        <w:t>A</w:t>
      </w:r>
      <w:r w:rsidR="001F7CF7" w:rsidRPr="008B0AA7">
        <w:t>z M</w:t>
      </w:r>
      <w:r w:rsidR="001F7CF7">
        <w:t>NB</w:t>
      </w:r>
      <w:r w:rsidRPr="009F3A30">
        <w:t xml:space="preserve"> tapasztalatai alapján a bizalmi vagyonkezelői szektorban nagy számban fordul elő, hogy a jogintézményt szándékolt céljával szemben ténylegesen a rendelt vagyon forrásának, az ehhez a vagyonhoz köthető személyeknek az elfedésére használják fel. Ennek megfelelően nem ritka az „offshore” hátterű vagyonrendelő, mindemellett teljesen általános gyakorlat, hogy a vagyonrendelő egyben elsődleges kedvezményezettként is megjelenik.</w:t>
      </w:r>
      <w:r w:rsidR="008B0AA7">
        <w:t xml:space="preserve"> </w:t>
      </w:r>
      <w:r w:rsidR="007C75BA">
        <w:t>Volt olyan eset,</w:t>
      </w:r>
      <w:r w:rsidR="008B0AA7">
        <w:t xml:space="preserve"> hogy a </w:t>
      </w:r>
      <w:r w:rsidRPr="009F3A30">
        <w:t>részvénytársasági osztalékfizetési szabályok kijátszására használták fel</w:t>
      </w:r>
      <w:r w:rsidR="008B0AA7">
        <w:t xml:space="preserve"> a bizalmi vagyonkezelői konstrukciót. </w:t>
      </w:r>
    </w:p>
    <w:p w14:paraId="728BF0B5" w14:textId="5D3F858E" w:rsidR="008A12EB" w:rsidRPr="008B0AA7" w:rsidRDefault="00863CDC" w:rsidP="00D5316C">
      <w:pPr>
        <w:spacing w:before="120" w:after="120"/>
      </w:pPr>
      <w:r w:rsidRPr="009F3A30">
        <w:t xml:space="preserve">Ugyan a bizalmi vagyonkezelők a </w:t>
      </w:r>
      <w:proofErr w:type="spellStart"/>
      <w:r w:rsidRPr="009F3A30">
        <w:t>Pmt</w:t>
      </w:r>
      <w:proofErr w:type="spellEnd"/>
      <w:r w:rsidRPr="009F3A30">
        <w:t xml:space="preserve">. hatálya alá tartozó szolgáltatók, azonban a felmerülő ML/FT kockázatok általuk történő érdemi kezelése </w:t>
      </w:r>
      <w:r w:rsidR="0005160A">
        <w:t>kockázatot hordoz magában.</w:t>
      </w:r>
      <w:r w:rsidRPr="009F3A30">
        <w:t xml:space="preserve"> Ennek oka egyfelől, hogy </w:t>
      </w:r>
      <w:r w:rsidR="0005160A">
        <w:t>a szolgáltatás</w:t>
      </w:r>
      <w:r w:rsidRPr="009F3A30">
        <w:t xml:space="preserve"> erős bizalmi viszonyt feltételez, amely mellett a gyanús jogügylet megakadályozása, bejelentése </w:t>
      </w:r>
      <w:r w:rsidR="00914DED">
        <w:t>s</w:t>
      </w:r>
      <w:r w:rsidR="00914DED" w:rsidRPr="009F3A30">
        <w:t xml:space="preserve">em </w:t>
      </w:r>
      <w:r w:rsidRPr="009F3A30">
        <w:t xml:space="preserve">életszerű. </w:t>
      </w:r>
      <w:r w:rsidR="007C75BA" w:rsidRPr="009F3A30">
        <w:t xml:space="preserve">A felmerülő kockázatok kezelése tekintetében másfelől problematikus a bizalmi vagyonkezelést jellemző kettősség, miszerint a bizalmi vagyonkezelő a vagyonkezelés belső viszonyaiban szolgáltatóként, míg külső viszonyaiban ügyfélként (kvázi a kezelt vagyon képviselőjeként, ugyanakkor mégis saját nevében, tulajdonosként eljárva) jelenik meg, azaz a vagyonkezelő egyidejűleg egymással ellentétes „érdekű” pozíciókat tölt be. </w:t>
      </w:r>
      <w:r w:rsidRPr="00A07F4E">
        <w:rPr>
          <w:rFonts w:cs="Times New Roman"/>
        </w:rPr>
        <w:t xml:space="preserve"> </w:t>
      </w:r>
    </w:p>
    <w:p w14:paraId="7D9E3F2B" w14:textId="77777777" w:rsidR="00BA6306" w:rsidRPr="00A07F4E" w:rsidRDefault="00BA6306" w:rsidP="00A07F4E">
      <w:pPr>
        <w:pStyle w:val="Listaszerbekezds"/>
        <w:numPr>
          <w:ilvl w:val="1"/>
          <w:numId w:val="23"/>
        </w:numPr>
        <w:ind w:left="851" w:hanging="284"/>
      </w:pPr>
      <w:r w:rsidRPr="00A07F4E">
        <w:t xml:space="preserve">A </w:t>
      </w:r>
      <w:r w:rsidR="007808A5" w:rsidRPr="00A07F4E">
        <w:t xml:space="preserve">bizalmi vagyonkezelői szektorban </w:t>
      </w:r>
      <w:r w:rsidRPr="00A07F4E">
        <w:t>rejlő, határokon átnyúló ML/</w:t>
      </w:r>
      <w:proofErr w:type="spellStart"/>
      <w:r w:rsidRPr="00A07F4E">
        <w:t>TF</w:t>
      </w:r>
      <w:proofErr w:type="spellEnd"/>
      <w:r w:rsidRPr="00A07F4E">
        <w:t xml:space="preserve"> kockázatok</w:t>
      </w:r>
    </w:p>
    <w:p w14:paraId="3AEA58B8" w14:textId="60903937" w:rsidR="00E86B4A" w:rsidRPr="00A07F4E" w:rsidRDefault="00E86B4A" w:rsidP="00E86B4A">
      <w:r w:rsidRPr="00A07F4E">
        <w:t>A bizalmi vagyonkezelő</w:t>
      </w:r>
      <w:r w:rsidR="00F04A1A" w:rsidRPr="009F3A30">
        <w:t>i jogviszony szereplői</w:t>
      </w:r>
      <w:r w:rsidR="00F04A1A" w:rsidRPr="00A07F4E">
        <w:t xml:space="preserve"> </w:t>
      </w:r>
      <w:r w:rsidRPr="00A07F4E">
        <w:t>jellemzően magyar állampolgárságú, természetes személyek vagy Magyarországon székhellyel rendelkező gazdasági társaságok,</w:t>
      </w:r>
      <w:r w:rsidR="001D079B" w:rsidRPr="00A07F4E">
        <w:t xml:space="preserve"> azonban előfordul</w:t>
      </w:r>
      <w:r w:rsidR="00871EA4" w:rsidRPr="00A07F4E">
        <w:t xml:space="preserve"> olyan eset is</w:t>
      </w:r>
      <w:r w:rsidR="001D079B" w:rsidRPr="00A07F4E">
        <w:t xml:space="preserve">, hogy a bizalmi vagyonkezelői szerződések szereplői külföldi állampolgárok, vagy külföldi cégek. </w:t>
      </w:r>
      <w:r w:rsidR="003275BB">
        <w:t>Megállapítható, hogy jellemzően</w:t>
      </w:r>
      <w:r w:rsidR="003275BB" w:rsidRPr="003275BB">
        <w:t xml:space="preserve"> kimutatható a magyarországi kapcsolat (akár a vagyonrendelő, akár a kedvezményezett, akár a rendelt vagyon vonatkozásában), egyre nagyobb számban jelennek meg olyan külföldi illetőségű vagyonrendelők, akik esetében nem látszik a hazai vagyonkezelési jogviszony létesítésének indoka. </w:t>
      </w:r>
      <w:r w:rsidR="001D079B" w:rsidRPr="00A07F4E">
        <w:t xml:space="preserve">Mindezek alapján megállapítható, hogy </w:t>
      </w:r>
      <w:r w:rsidRPr="00A07F4E">
        <w:t xml:space="preserve">a külföldi érintettség jelen szektorban </w:t>
      </w:r>
      <w:r w:rsidR="00F57802" w:rsidRPr="00A07F4E">
        <w:t xml:space="preserve">részben </w:t>
      </w:r>
      <w:r w:rsidR="00DC6C47">
        <w:t xml:space="preserve">jelen van, így az ebben rejlő kockázat </w:t>
      </w:r>
      <w:r w:rsidR="00D45F4F" w:rsidRPr="00A07F4E">
        <w:t>Jelentős</w:t>
      </w:r>
      <w:r w:rsidR="00F57802" w:rsidRPr="00A07F4E">
        <w:t xml:space="preserve">nek </w:t>
      </w:r>
      <w:r w:rsidR="00DC6C47">
        <w:t xml:space="preserve">tekintendő. </w:t>
      </w:r>
      <w:r w:rsidR="00D45F4F" w:rsidRPr="00A07F4E">
        <w:t xml:space="preserve"> </w:t>
      </w:r>
    </w:p>
    <w:p w14:paraId="4B5A6DAC" w14:textId="659CE571" w:rsidR="00BA6306" w:rsidRPr="00A07F4E" w:rsidRDefault="00BA6306" w:rsidP="00BA6306">
      <w:pPr>
        <w:rPr>
          <w:b/>
          <w:bCs/>
        </w:rPr>
      </w:pPr>
      <w:r w:rsidRPr="00A07F4E">
        <w:rPr>
          <w:b/>
          <w:bCs/>
        </w:rPr>
        <w:t>A</w:t>
      </w:r>
      <w:r w:rsidR="00500CD4">
        <w:rPr>
          <w:b/>
          <w:bCs/>
        </w:rPr>
        <w:t>z MNB</w:t>
      </w:r>
      <w:r w:rsidRPr="00A07F4E">
        <w:rPr>
          <w:b/>
          <w:bCs/>
        </w:rPr>
        <w:t xml:space="preserve"> értékelése alapján a </w:t>
      </w:r>
      <w:r w:rsidR="007808A5" w:rsidRPr="00A07F4E">
        <w:rPr>
          <w:b/>
          <w:bCs/>
        </w:rPr>
        <w:t>bizalmi vagyonkezelői</w:t>
      </w:r>
      <w:r w:rsidRPr="00A07F4E">
        <w:rPr>
          <w:b/>
          <w:bCs/>
        </w:rPr>
        <w:t xml:space="preserve"> szektor</w:t>
      </w:r>
      <w:r w:rsidR="00500CD4">
        <w:rPr>
          <w:b/>
          <w:bCs/>
        </w:rPr>
        <w:t>, így az ü</w:t>
      </w:r>
      <w:r w:rsidR="00500CD4" w:rsidRPr="00500CD4">
        <w:rPr>
          <w:b/>
          <w:bCs/>
        </w:rPr>
        <w:t xml:space="preserve">zletszerű bizalmi vagyonkezelői </w:t>
      </w:r>
      <w:r w:rsidR="00500CD4">
        <w:rPr>
          <w:b/>
          <w:bCs/>
        </w:rPr>
        <w:t xml:space="preserve">és a nem üzletszerű bizalmi vagyonkezelői </w:t>
      </w:r>
      <w:r w:rsidR="00500CD4" w:rsidRPr="00500CD4">
        <w:rPr>
          <w:b/>
          <w:bCs/>
        </w:rPr>
        <w:t>alszektor</w:t>
      </w:r>
      <w:r w:rsidR="00500CD4">
        <w:rPr>
          <w:b/>
          <w:bCs/>
        </w:rPr>
        <w:t xml:space="preserve"> </w:t>
      </w:r>
      <w:r w:rsidR="005F227E">
        <w:rPr>
          <w:b/>
          <w:bCs/>
        </w:rPr>
        <w:t>Nagyon j</w:t>
      </w:r>
      <w:r w:rsidRPr="00A07F4E">
        <w:rPr>
          <w:b/>
          <w:bCs/>
        </w:rPr>
        <w:t>elentős inherens kockázati értékkel rendelkezik.</w:t>
      </w:r>
    </w:p>
    <w:tbl>
      <w:tblPr>
        <w:tblW w:w="3580" w:type="dxa"/>
        <w:jc w:val="center"/>
        <w:tblCellMar>
          <w:left w:w="70" w:type="dxa"/>
          <w:right w:w="70" w:type="dxa"/>
        </w:tblCellMar>
        <w:tblLook w:val="04A0" w:firstRow="1" w:lastRow="0" w:firstColumn="1" w:lastColumn="0" w:noHBand="0" w:noVBand="1"/>
      </w:tblPr>
      <w:tblGrid>
        <w:gridCol w:w="1800"/>
        <w:gridCol w:w="1780"/>
      </w:tblGrid>
      <w:tr w:rsidR="005F227E" w:rsidRPr="00A07F4E" w14:paraId="299C835A" w14:textId="77777777" w:rsidTr="009F3A30">
        <w:trPr>
          <w:trHeight w:val="300"/>
          <w:jc w:val="center"/>
        </w:trPr>
        <w:tc>
          <w:tcPr>
            <w:tcW w:w="1800" w:type="dxa"/>
            <w:tcBorders>
              <w:top w:val="nil"/>
              <w:left w:val="nil"/>
              <w:bottom w:val="nil"/>
              <w:right w:val="nil"/>
            </w:tcBorders>
            <w:shd w:val="clear" w:color="auto" w:fill="auto"/>
            <w:noWrap/>
            <w:vAlign w:val="center"/>
            <w:hideMark/>
          </w:tcPr>
          <w:p w14:paraId="672E4FBA" w14:textId="77777777" w:rsidR="005F227E" w:rsidRPr="00A07F4E" w:rsidRDefault="005F227E" w:rsidP="009F3A30">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Inherens kockázat</w:t>
            </w:r>
          </w:p>
        </w:tc>
        <w:tc>
          <w:tcPr>
            <w:tcW w:w="1780" w:type="dxa"/>
            <w:tcBorders>
              <w:top w:val="single" w:sz="4" w:space="0" w:color="auto"/>
              <w:left w:val="single" w:sz="4" w:space="0" w:color="auto"/>
              <w:bottom w:val="single" w:sz="4" w:space="0" w:color="auto"/>
              <w:right w:val="single" w:sz="4" w:space="0" w:color="auto"/>
            </w:tcBorders>
            <w:shd w:val="clear" w:color="000000" w:fill="FF603B"/>
            <w:noWrap/>
            <w:vAlign w:val="center"/>
            <w:hideMark/>
          </w:tcPr>
          <w:p w14:paraId="76B57027" w14:textId="77777777" w:rsidR="005F227E" w:rsidRPr="009F3A30" w:rsidRDefault="005F227E" w:rsidP="0054568C">
            <w:pPr>
              <w:spacing w:after="0" w:line="240" w:lineRule="auto"/>
              <w:jc w:val="center"/>
              <w:rPr>
                <w:sz w:val="18"/>
              </w:rPr>
            </w:pPr>
            <w:r w:rsidRPr="00A07F4E">
              <w:rPr>
                <w:rFonts w:eastAsia="Times New Roman" w:cs="Times New Roman"/>
                <w:sz w:val="18"/>
                <w:szCs w:val="18"/>
              </w:rPr>
              <w:t>Nagyon jelentős</w:t>
            </w:r>
          </w:p>
        </w:tc>
      </w:tr>
    </w:tbl>
    <w:p w14:paraId="7467DED8" w14:textId="77777777" w:rsidR="003A71F8" w:rsidRPr="00A07F4E" w:rsidRDefault="003A71F8"/>
    <w:p w14:paraId="4FDD0BCA" w14:textId="7899B2ED" w:rsidR="00BA6306" w:rsidRDefault="00F1659B" w:rsidP="00A07F4E">
      <w:pPr>
        <w:pStyle w:val="Cmsor3"/>
        <w:numPr>
          <w:ilvl w:val="0"/>
          <w:numId w:val="155"/>
        </w:numPr>
      </w:pPr>
      <w:bookmarkStart w:id="286" w:name="_Toc109906075"/>
      <w:r w:rsidRPr="00A07F4E">
        <w:t>Az ellenőrzések minősége, f</w:t>
      </w:r>
      <w:r w:rsidR="00BA6306" w:rsidRPr="00A07F4E">
        <w:t>elügyeleti tevékenység</w:t>
      </w:r>
      <w:r w:rsidR="00590975" w:rsidRPr="00A07F4E">
        <w:t>, azonosított jogsértések</w:t>
      </w:r>
      <w:bookmarkEnd w:id="286"/>
    </w:p>
    <w:p w14:paraId="061E08BC" w14:textId="7FC97632" w:rsidR="004D42B0" w:rsidRPr="009F3A30" w:rsidRDefault="004D42B0" w:rsidP="00A07F4E">
      <w:pPr>
        <w:pStyle w:val="Listaszerbekezds"/>
        <w:numPr>
          <w:ilvl w:val="0"/>
          <w:numId w:val="205"/>
        </w:numPr>
        <w:ind w:left="851" w:hanging="284"/>
      </w:pPr>
      <w:r w:rsidRPr="009F3A30">
        <w:t>Üzletszerű bizalmi vagyonkezelői alszektor</w:t>
      </w:r>
    </w:p>
    <w:p w14:paraId="3D13CEBE" w14:textId="066D434F" w:rsidR="00733220" w:rsidRDefault="0062588E" w:rsidP="00A07F4E">
      <w:r>
        <w:t xml:space="preserve">Az üzletszerű bizalmi vagyonkezelőknél az ellenőrzés minőségét az MNB gyengének értékelte. </w:t>
      </w:r>
      <w:r w:rsidR="001D0795" w:rsidRPr="000222BD">
        <w:t>Az MNB</w:t>
      </w:r>
      <w:r w:rsidR="00F468F0" w:rsidRPr="000222BD">
        <w:t xml:space="preserve"> a</w:t>
      </w:r>
      <w:r w:rsidR="00F468F0" w:rsidRPr="009F3A30">
        <w:t xml:space="preserve"> </w:t>
      </w:r>
      <w:r w:rsidR="00B759E0" w:rsidRPr="009F3A30">
        <w:t>J</w:t>
      </w:r>
      <w:r w:rsidR="00F468F0" w:rsidRPr="009F3A30">
        <w:t>elentős inherens kockázati besorolásra, illetve a kockázatalapú felügyelésre is tekintettel nagyobb hangsúlyt fektetett</w:t>
      </w:r>
      <w:r w:rsidR="00E80E5C" w:rsidRPr="009F3A30">
        <w:t xml:space="preserve"> </w:t>
      </w:r>
      <w:r w:rsidR="00F468F0" w:rsidRPr="009F3A30">
        <w:t xml:space="preserve">az elmúlt időszakban az üzletszerű bizalmi vagyonkezelői alszektor vizsgálatára. Az elmúlt időszakban </w:t>
      </w:r>
      <w:proofErr w:type="spellStart"/>
      <w:r w:rsidR="00F468F0" w:rsidRPr="009F3A30">
        <w:t>on</w:t>
      </w:r>
      <w:proofErr w:type="spellEnd"/>
      <w:r w:rsidR="00F468F0" w:rsidRPr="009F3A30">
        <w:t xml:space="preserve">-site és </w:t>
      </w:r>
      <w:proofErr w:type="spellStart"/>
      <w:r w:rsidR="00F468F0" w:rsidRPr="009F3A30">
        <w:t>off</w:t>
      </w:r>
      <w:proofErr w:type="spellEnd"/>
      <w:r w:rsidR="00F468F0" w:rsidRPr="009F3A30">
        <w:t xml:space="preserve">-site vizsgálatokat is </w:t>
      </w:r>
      <w:r w:rsidR="00851D49" w:rsidRPr="009F3A30">
        <w:t xml:space="preserve">végez, </w:t>
      </w:r>
      <w:r w:rsidR="00F468F0" w:rsidRPr="009F3A30">
        <w:t xml:space="preserve">végzett az alszektorban. </w:t>
      </w:r>
      <w:r w:rsidR="00D90130" w:rsidRPr="009F3A30">
        <w:t>A korábbi ellenőrzés</w:t>
      </w:r>
      <w:r w:rsidR="00F468F0" w:rsidRPr="009F3A30">
        <w:t xml:space="preserve"> az üzletszerű bizalmi vagyonkezelők </w:t>
      </w:r>
      <w:r w:rsidR="008035BC" w:rsidRPr="009F3A30">
        <w:t>tényleges tulajdonosokat érintő ügyfél-átvilágítási gyakorlatá</w:t>
      </w:r>
      <w:r w:rsidR="00D90130" w:rsidRPr="009F3A30">
        <w:t>ra terjedt ki</w:t>
      </w:r>
      <w:r w:rsidR="008035BC" w:rsidRPr="009F3A30">
        <w:t xml:space="preserve">, </w:t>
      </w:r>
      <w:r w:rsidR="00B759E0" w:rsidRPr="009F3A30">
        <w:t>amellyel kapcsolatban</w:t>
      </w:r>
      <w:r w:rsidR="008035BC" w:rsidRPr="009F3A30">
        <w:t xml:space="preserve"> kockázatokat és hiányosságokat </w:t>
      </w:r>
      <w:r w:rsidR="008035BC" w:rsidRPr="000222BD">
        <w:t>a</w:t>
      </w:r>
      <w:r w:rsidR="001D0795" w:rsidRPr="00B62549">
        <w:t xml:space="preserve">z MNB </w:t>
      </w:r>
      <w:r w:rsidR="008035BC" w:rsidRPr="00B62549">
        <w:t>nem</w:t>
      </w:r>
      <w:r w:rsidR="008035BC" w:rsidRPr="009F3A30">
        <w:t xml:space="preserve"> azonosított, azonban </w:t>
      </w:r>
      <w:r w:rsidR="001D0795">
        <w:t>az MNB</w:t>
      </w:r>
      <w:r w:rsidR="008035BC" w:rsidRPr="009F3A30">
        <w:t xml:space="preserve"> a vizsgálati eljárás során a bizalmi vagyonkezelők tevékenységével kapcsolatban észlelt </w:t>
      </w:r>
      <w:r w:rsidR="00D90130" w:rsidRPr="009F3A30">
        <w:t xml:space="preserve">egyéb </w:t>
      </w:r>
      <w:r w:rsidR="008035BC" w:rsidRPr="009F3A30">
        <w:t>olyan hiányosságokat, amely</w:t>
      </w:r>
      <w:r w:rsidR="00D90130" w:rsidRPr="009F3A30">
        <w:t>ek</w:t>
      </w:r>
      <w:r w:rsidR="008035BC" w:rsidRPr="009F3A30">
        <w:t xml:space="preserve"> a</w:t>
      </w:r>
      <w:r w:rsidR="00E80E5C" w:rsidRPr="009F3A30">
        <w:t>kkor a folyamatban lévő</w:t>
      </w:r>
      <w:r w:rsidR="008035BC" w:rsidRPr="009F3A30">
        <w:t xml:space="preserve"> vizsgálat tárgyát nem képezték</w:t>
      </w:r>
      <w:r w:rsidR="00B759E0" w:rsidRPr="009F3A30">
        <w:t>. Ezen</w:t>
      </w:r>
      <w:r w:rsidR="00E80E5C" w:rsidRPr="009F3A30">
        <w:t xml:space="preserve"> észlelt</w:t>
      </w:r>
      <w:r w:rsidR="00B759E0" w:rsidRPr="009F3A30">
        <w:t xml:space="preserve"> hiányosságok közül vizsgálat </w:t>
      </w:r>
      <w:r w:rsidR="00D90130" w:rsidRPr="009F3A30">
        <w:t xml:space="preserve">a bizalmi vagyonkezelő szolgáltatók vagyonkezelésbe vett pénz és vagyoni eszközök forrását feltáró gyakorlatának ellenőrzésére </w:t>
      </w:r>
      <w:r w:rsidR="00733220" w:rsidRPr="009F3A30">
        <w:t>indult</w:t>
      </w:r>
      <w:r w:rsidR="00D90130" w:rsidRPr="009F3A30">
        <w:t>.</w:t>
      </w:r>
      <w:r w:rsidR="00D90130" w:rsidRPr="00A07F4E">
        <w:t xml:space="preserve"> </w:t>
      </w:r>
      <w:r w:rsidR="00C32B66" w:rsidRPr="00F6504D">
        <w:t>A vizsgálat</w:t>
      </w:r>
      <w:r w:rsidR="006C1881" w:rsidRPr="00F6504D">
        <w:t>ok</w:t>
      </w:r>
      <w:r w:rsidR="00C32B66" w:rsidRPr="00F6504D">
        <w:t xml:space="preserve"> során </w:t>
      </w:r>
      <w:r w:rsidR="00983CD2" w:rsidRPr="00F6504D">
        <w:t xml:space="preserve">hiányosságok a </w:t>
      </w:r>
      <w:r w:rsidR="006C1881" w:rsidRPr="00F6504D">
        <w:t xml:space="preserve">bejelentés elmulasztásával, </w:t>
      </w:r>
      <w:r w:rsidR="00983CD2" w:rsidRPr="00F6504D">
        <w:t xml:space="preserve">az </w:t>
      </w:r>
      <w:r w:rsidR="006C1881" w:rsidRPr="00F6504D">
        <w:t>ügyfél-átvilágítás</w:t>
      </w:r>
      <w:r w:rsidR="00446B29" w:rsidRPr="00F6504D">
        <w:t>i dokumentáció</w:t>
      </w:r>
      <w:r w:rsidR="006C1881" w:rsidRPr="00F6504D">
        <w:t xml:space="preserve"> teljeskörűségével,</w:t>
      </w:r>
      <w:r w:rsidR="00C8600C" w:rsidRPr="00F6504D">
        <w:t xml:space="preserve"> </w:t>
      </w:r>
      <w:r w:rsidR="006C1881" w:rsidRPr="00F6504D">
        <w:t>az üzleti kapcsolatok céljának és jellegének</w:t>
      </w:r>
      <w:r w:rsidR="00C8600C" w:rsidRPr="00F6504D">
        <w:t xml:space="preserve"> </w:t>
      </w:r>
      <w:r w:rsidR="006C1881" w:rsidRPr="00F6504D">
        <w:t>rögzítésével</w:t>
      </w:r>
      <w:r w:rsidR="00C8600C" w:rsidRPr="00F6504D">
        <w:t>, valamint a pénzeszköz forrásának vizsgálatával kapcsolatban kerültek</w:t>
      </w:r>
      <w:r w:rsidR="006C1881" w:rsidRPr="00F6504D">
        <w:t xml:space="preserve"> megállapításra</w:t>
      </w:r>
      <w:r w:rsidR="00C8600C" w:rsidRPr="00F6504D">
        <w:t>.</w:t>
      </w:r>
      <w:r w:rsidR="00C8600C">
        <w:t xml:space="preserve"> </w:t>
      </w:r>
    </w:p>
    <w:p w14:paraId="54044F77" w14:textId="6EC864AE" w:rsidR="00C32B66" w:rsidRPr="009F3A30" w:rsidRDefault="00C32B66" w:rsidP="00FC37B3">
      <w:pPr>
        <w:pStyle w:val="Listaszerbekezds"/>
        <w:numPr>
          <w:ilvl w:val="0"/>
          <w:numId w:val="205"/>
        </w:numPr>
        <w:ind w:left="851" w:hanging="284"/>
      </w:pPr>
      <w:r w:rsidRPr="009F3A30">
        <w:lastRenderedPageBreak/>
        <w:t>Nem üzletszerű bizalmi vagyonkezelői alszektor</w:t>
      </w:r>
    </w:p>
    <w:p w14:paraId="44697134" w14:textId="271B4919" w:rsidR="00C32B66" w:rsidRDefault="00C32B66" w:rsidP="00C32B66">
      <w:r>
        <w:t xml:space="preserve">A nem üzletszerű bizalmi vagyonkezelőknél az ellenőrzés minőségét az MNB </w:t>
      </w:r>
      <w:r w:rsidR="00F6504D">
        <w:t xml:space="preserve">szintén </w:t>
      </w:r>
      <w:r>
        <w:t xml:space="preserve">gyengének értékelte, mivel jellemzően a vagyonkezelőnek önmagát, saját eljárását, </w:t>
      </w:r>
      <w:proofErr w:type="spellStart"/>
      <w:r>
        <w:t>AML</w:t>
      </w:r>
      <w:proofErr w:type="spellEnd"/>
      <w:r>
        <w:t>/</w:t>
      </w:r>
      <w:proofErr w:type="spellStart"/>
      <w:r>
        <w:t>CFT</w:t>
      </w:r>
      <w:proofErr w:type="spellEnd"/>
      <w:r>
        <w:t xml:space="preserve"> tevékenységét lenne szükséges ellenőrizni, amely különösen nehézkes és életidegen a természetes személy vagyonkezelők esetében. A nem üzletszerű minősége miatt ezen bizalmi vagyonkezelők által a jogszabályok betartása, így azok ellenőrzésének kivitelezése is nehézkesebb szektorokhoz, alszektorokhoz képest. </w:t>
      </w:r>
      <w:r w:rsidRPr="009F3A30">
        <w:t>A nem üzletszerű bizalmi vagyonkezelői szerződések – azok nyilvántartásba vételét követően – a</w:t>
      </w:r>
      <w:r>
        <w:t>z MNB</w:t>
      </w:r>
      <w:r w:rsidRPr="009F3A30">
        <w:t xml:space="preserve"> által megvizsgálásra kerülnek, és ahol gyanús körülmény került detektálásra, úgy </w:t>
      </w:r>
      <w:r>
        <w:t>az MNB</w:t>
      </w:r>
      <w:r w:rsidRPr="009F3A30">
        <w:t xml:space="preserve"> bejelentéssel él a </w:t>
      </w:r>
      <w:proofErr w:type="spellStart"/>
      <w:r>
        <w:t>NAV</w:t>
      </w:r>
      <w:proofErr w:type="spellEnd"/>
      <w:r>
        <w:t xml:space="preserve"> </w:t>
      </w:r>
      <w:proofErr w:type="spellStart"/>
      <w:r>
        <w:t>PEI</w:t>
      </w:r>
      <w:proofErr w:type="spellEnd"/>
      <w:r w:rsidRPr="009F3A30">
        <w:t xml:space="preserve"> felé. Eddig </w:t>
      </w:r>
      <w:r>
        <w:t xml:space="preserve">az MNB </w:t>
      </w:r>
      <w:r w:rsidRPr="009F3A30">
        <w:t>általi bejelentésekre jellemzően az offshore érintettség, rejtett egyoldalú szerződések, illetve összefonódások miatt került sor</w:t>
      </w:r>
      <w:r>
        <w:t xml:space="preserve">. </w:t>
      </w:r>
      <w:r w:rsidRPr="000222BD">
        <w:t>Azonban megállapítható, hogy jelen alszektorban jellemzően családon belüli és kisebb összegű vagyonrendelésekre kerül sor, amely konstrukciók kisebb kockázatot hordoznak magukban, mint az üzletszerű bizalmi vagyonkezelői szerződések általi jogviszonyok, így az alszektor az üzletszerű bizalmi vagyonkezelői alszektorhoz képest alacsonyabb ML/</w:t>
      </w:r>
      <w:proofErr w:type="spellStart"/>
      <w:r w:rsidRPr="000222BD">
        <w:t>TF</w:t>
      </w:r>
      <w:proofErr w:type="spellEnd"/>
      <w:r w:rsidRPr="000222BD">
        <w:t xml:space="preserve"> kockázatot jelent.</w:t>
      </w:r>
      <w:r w:rsidRPr="009F3A30">
        <w:t xml:space="preserve"> A nem üzletszerű bizalmi vagyonkezelői alszektor felett a szerződések vizsgálatával a</w:t>
      </w:r>
      <w:r>
        <w:t>z MNB</w:t>
      </w:r>
      <w:r w:rsidRPr="009F3A30">
        <w:t xml:space="preserve"> kvázi folyamatos </w:t>
      </w:r>
      <w:proofErr w:type="spellStart"/>
      <w:r>
        <w:t>AML</w:t>
      </w:r>
      <w:proofErr w:type="spellEnd"/>
      <w:r>
        <w:t>/</w:t>
      </w:r>
      <w:proofErr w:type="spellStart"/>
      <w:r>
        <w:t>CFT</w:t>
      </w:r>
      <w:proofErr w:type="spellEnd"/>
      <w:r>
        <w:t xml:space="preserve"> </w:t>
      </w:r>
      <w:r w:rsidRPr="009F3A30">
        <w:t>felügyeletet lát el.</w:t>
      </w:r>
      <w:r w:rsidRPr="00A07F4E">
        <w:t xml:space="preserve">   </w:t>
      </w:r>
    </w:p>
    <w:p w14:paraId="7E45E9D2" w14:textId="77777777" w:rsidR="00BA6306" w:rsidRPr="00A07F4E" w:rsidRDefault="00BA6306" w:rsidP="00A07F4E">
      <w:pPr>
        <w:pStyle w:val="Cmsor3"/>
        <w:numPr>
          <w:ilvl w:val="0"/>
          <w:numId w:val="155"/>
        </w:numPr>
      </w:pPr>
      <w:bookmarkStart w:id="287" w:name="_Toc106869644"/>
      <w:bookmarkStart w:id="288" w:name="_Toc107236509"/>
      <w:bookmarkStart w:id="289" w:name="_Toc107237417"/>
      <w:bookmarkStart w:id="290" w:name="_Toc107237747"/>
      <w:bookmarkStart w:id="291" w:name="_Toc109906076"/>
      <w:bookmarkEnd w:id="287"/>
      <w:bookmarkEnd w:id="288"/>
      <w:bookmarkEnd w:id="289"/>
      <w:bookmarkEnd w:id="290"/>
      <w:r w:rsidRPr="00A07F4E">
        <w:t>Maradványkockázat</w:t>
      </w:r>
      <w:bookmarkEnd w:id="291"/>
    </w:p>
    <w:p w14:paraId="5F0B4E75" w14:textId="4C63B9E1" w:rsidR="004C0953" w:rsidRPr="00A07F4E" w:rsidRDefault="00BA6306" w:rsidP="00BA6306">
      <w:r w:rsidRPr="000222BD">
        <w:t>A</w:t>
      </w:r>
      <w:r w:rsidR="004F13F1" w:rsidRPr="00B62549">
        <w:t>z MNB</w:t>
      </w:r>
      <w:r w:rsidRPr="00B62549">
        <w:t xml:space="preserve"> a fenti szempontok</w:t>
      </w:r>
      <w:r w:rsidR="001D538C" w:rsidRPr="00B62549">
        <w:t>ra</w:t>
      </w:r>
      <w:r w:rsidR="001D538C">
        <w:t xml:space="preserve"> tekintettel</w:t>
      </w:r>
      <w:r w:rsidRPr="00A07F4E">
        <w:t xml:space="preserve"> a maradványkockázatot </w:t>
      </w:r>
    </w:p>
    <w:p w14:paraId="3CE2CA2B" w14:textId="77777777" w:rsidR="00F6504D" w:rsidRPr="009F3A30" w:rsidRDefault="00F6504D" w:rsidP="00F6504D">
      <w:pPr>
        <w:pStyle w:val="Listaszerbekezds"/>
        <w:numPr>
          <w:ilvl w:val="0"/>
          <w:numId w:val="209"/>
        </w:numPr>
      </w:pPr>
      <w:r w:rsidRPr="009F3A30">
        <w:t xml:space="preserve">az üzletszerű bizalmi vagyonkezelők esetében Nagyon jelentősnek tekinti.  </w:t>
      </w:r>
    </w:p>
    <w:tbl>
      <w:tblPr>
        <w:tblW w:w="3580" w:type="dxa"/>
        <w:tblCellMar>
          <w:left w:w="70" w:type="dxa"/>
          <w:right w:w="70" w:type="dxa"/>
        </w:tblCellMar>
        <w:tblLook w:val="04A0" w:firstRow="1" w:lastRow="0" w:firstColumn="1" w:lastColumn="0" w:noHBand="0" w:noVBand="1"/>
      </w:tblPr>
      <w:tblGrid>
        <w:gridCol w:w="1800"/>
        <w:gridCol w:w="1780"/>
      </w:tblGrid>
      <w:tr w:rsidR="00F6504D" w:rsidRPr="00A07F4E" w14:paraId="6D40E94A" w14:textId="77777777" w:rsidTr="00300DCA">
        <w:trPr>
          <w:trHeight w:val="300"/>
        </w:trPr>
        <w:tc>
          <w:tcPr>
            <w:tcW w:w="1800" w:type="dxa"/>
            <w:tcBorders>
              <w:top w:val="nil"/>
              <w:left w:val="nil"/>
              <w:bottom w:val="nil"/>
              <w:right w:val="nil"/>
            </w:tcBorders>
            <w:shd w:val="clear" w:color="auto" w:fill="auto"/>
            <w:noWrap/>
            <w:vAlign w:val="center"/>
            <w:hideMark/>
          </w:tcPr>
          <w:p w14:paraId="6372B686" w14:textId="77777777" w:rsidR="00F6504D" w:rsidRPr="009F3A30" w:rsidRDefault="00F6504D" w:rsidP="00300DCA">
            <w:pPr>
              <w:spacing w:after="0" w:line="240" w:lineRule="auto"/>
              <w:jc w:val="center"/>
              <w:rPr>
                <w:b/>
                <w:color w:val="000000"/>
                <w:sz w:val="18"/>
              </w:rPr>
            </w:pPr>
            <w:r w:rsidRPr="009F3A30">
              <w:rPr>
                <w:b/>
                <w:color w:val="000000"/>
                <w:sz w:val="18"/>
              </w:rPr>
              <w:t>Maradványkockázat</w:t>
            </w:r>
          </w:p>
        </w:tc>
        <w:tc>
          <w:tcPr>
            <w:tcW w:w="1780" w:type="dxa"/>
            <w:tcBorders>
              <w:top w:val="single" w:sz="4" w:space="0" w:color="auto"/>
              <w:left w:val="single" w:sz="4" w:space="0" w:color="auto"/>
              <w:bottom w:val="single" w:sz="4" w:space="0" w:color="auto"/>
              <w:right w:val="single" w:sz="4" w:space="0" w:color="auto"/>
            </w:tcBorders>
            <w:shd w:val="clear" w:color="000000" w:fill="FF603B"/>
            <w:noWrap/>
            <w:vAlign w:val="center"/>
            <w:hideMark/>
          </w:tcPr>
          <w:p w14:paraId="42D129E4" w14:textId="77777777" w:rsidR="00F6504D" w:rsidRPr="00A07F4E" w:rsidRDefault="00F6504D" w:rsidP="00300DCA">
            <w:pPr>
              <w:spacing w:after="0" w:line="240" w:lineRule="auto"/>
              <w:jc w:val="center"/>
              <w:rPr>
                <w:rFonts w:eastAsia="Times New Roman" w:cs="Times New Roman"/>
                <w:sz w:val="18"/>
                <w:szCs w:val="18"/>
              </w:rPr>
            </w:pPr>
            <w:r w:rsidRPr="009F3A30">
              <w:rPr>
                <w:sz w:val="18"/>
              </w:rPr>
              <w:t>Nagyon jelentős</w:t>
            </w:r>
          </w:p>
        </w:tc>
      </w:tr>
    </w:tbl>
    <w:p w14:paraId="1506A8E7" w14:textId="77777777" w:rsidR="00F6504D" w:rsidRDefault="00F6504D" w:rsidP="000222BD">
      <w:pPr>
        <w:pStyle w:val="Listaszerbekezds"/>
        <w:numPr>
          <w:ilvl w:val="0"/>
          <w:numId w:val="0"/>
        </w:numPr>
        <w:ind w:left="1364"/>
      </w:pPr>
    </w:p>
    <w:p w14:paraId="4FCDD26B" w14:textId="05F9277E" w:rsidR="00BA6306" w:rsidRPr="009F3A30" w:rsidRDefault="004C0953" w:rsidP="00A07F4E">
      <w:pPr>
        <w:pStyle w:val="Listaszerbekezds"/>
        <w:numPr>
          <w:ilvl w:val="0"/>
          <w:numId w:val="209"/>
        </w:numPr>
      </w:pPr>
      <w:r w:rsidRPr="009F3A30">
        <w:t xml:space="preserve">a nem üzletszerű bizalmi </w:t>
      </w:r>
      <w:r w:rsidRPr="00B62549">
        <w:t xml:space="preserve">vagyonkezelők </w:t>
      </w:r>
      <w:r w:rsidRPr="000222BD">
        <w:t xml:space="preserve">esetében </w:t>
      </w:r>
      <w:r w:rsidRPr="00B62549">
        <w:t xml:space="preserve">Jelentősnek </w:t>
      </w:r>
      <w:r w:rsidR="00BA6306" w:rsidRPr="00B62549">
        <w:t>értékeli</w:t>
      </w:r>
      <w:r w:rsidR="00BA6306" w:rsidRPr="009F3A30">
        <w:t xml:space="preserve">. </w:t>
      </w:r>
    </w:p>
    <w:tbl>
      <w:tblPr>
        <w:tblW w:w="2740" w:type="dxa"/>
        <w:tblCellMar>
          <w:left w:w="70" w:type="dxa"/>
          <w:right w:w="70" w:type="dxa"/>
        </w:tblCellMar>
        <w:tblLook w:val="04A0" w:firstRow="1" w:lastRow="0" w:firstColumn="1" w:lastColumn="0" w:noHBand="0" w:noVBand="1"/>
      </w:tblPr>
      <w:tblGrid>
        <w:gridCol w:w="1780"/>
        <w:gridCol w:w="960"/>
      </w:tblGrid>
      <w:tr w:rsidR="00BF12FE" w:rsidRPr="00A07F4E" w14:paraId="297B9BE2" w14:textId="77777777" w:rsidTr="00A07F4E">
        <w:trPr>
          <w:trHeight w:val="300"/>
        </w:trPr>
        <w:tc>
          <w:tcPr>
            <w:tcW w:w="1780" w:type="dxa"/>
            <w:tcBorders>
              <w:top w:val="nil"/>
              <w:left w:val="nil"/>
              <w:bottom w:val="nil"/>
              <w:right w:val="nil"/>
            </w:tcBorders>
            <w:shd w:val="clear" w:color="auto" w:fill="auto"/>
            <w:noWrap/>
            <w:vAlign w:val="center"/>
            <w:hideMark/>
          </w:tcPr>
          <w:bookmarkEnd w:id="283"/>
          <w:p w14:paraId="260E2CA3" w14:textId="77777777" w:rsidR="00BF12FE" w:rsidRPr="009F3A30" w:rsidRDefault="00BF12FE" w:rsidP="00BF12FE">
            <w:pPr>
              <w:spacing w:after="0" w:line="240" w:lineRule="auto"/>
              <w:jc w:val="center"/>
              <w:rPr>
                <w:b/>
                <w:color w:val="000000"/>
                <w:sz w:val="18"/>
              </w:rPr>
            </w:pPr>
            <w:r w:rsidRPr="009F3A30">
              <w:rPr>
                <w:b/>
                <w:color w:val="000000"/>
                <w:sz w:val="18"/>
              </w:rPr>
              <w:t>Maradványkockázat</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8D333EC" w14:textId="77777777" w:rsidR="00BF12FE" w:rsidRPr="009F3A30" w:rsidRDefault="00BF12FE" w:rsidP="00BF12FE">
            <w:pPr>
              <w:spacing w:after="0" w:line="240" w:lineRule="auto"/>
              <w:jc w:val="center"/>
              <w:rPr>
                <w:color w:val="000000"/>
                <w:sz w:val="18"/>
              </w:rPr>
            </w:pPr>
            <w:r w:rsidRPr="009F3A30">
              <w:rPr>
                <w:color w:val="000000"/>
                <w:sz w:val="18"/>
              </w:rPr>
              <w:t>Jelentős</w:t>
            </w:r>
          </w:p>
        </w:tc>
      </w:tr>
    </w:tbl>
    <w:p w14:paraId="040C6D12" w14:textId="35CDA6E7" w:rsidR="00E07993" w:rsidRPr="009F3A30" w:rsidRDefault="00E07993" w:rsidP="00A24D72">
      <w:pPr>
        <w:spacing w:before="120"/>
        <w:rPr>
          <w:b/>
        </w:rPr>
      </w:pPr>
      <w:r w:rsidRPr="009F3A30">
        <w:rPr>
          <w:b/>
        </w:rPr>
        <w:t xml:space="preserve">A bizalmi vagyonkezelői szektor maradványkockázata </w:t>
      </w:r>
      <w:r w:rsidR="00AC4726">
        <w:rPr>
          <w:b/>
        </w:rPr>
        <w:t>az MNB</w:t>
      </w:r>
      <w:r w:rsidRPr="009F3A30">
        <w:rPr>
          <w:b/>
        </w:rPr>
        <w:t xml:space="preserve"> megítélése szerint:</w:t>
      </w:r>
    </w:p>
    <w:tbl>
      <w:tblPr>
        <w:tblW w:w="3580" w:type="dxa"/>
        <w:jc w:val="center"/>
        <w:tblCellMar>
          <w:left w:w="70" w:type="dxa"/>
          <w:right w:w="70" w:type="dxa"/>
        </w:tblCellMar>
        <w:tblLook w:val="04A0" w:firstRow="1" w:lastRow="0" w:firstColumn="1" w:lastColumn="0" w:noHBand="0" w:noVBand="1"/>
      </w:tblPr>
      <w:tblGrid>
        <w:gridCol w:w="1816"/>
        <w:gridCol w:w="1780"/>
      </w:tblGrid>
      <w:tr w:rsidR="00E07993" w:rsidRPr="00A07F4E" w14:paraId="2CB4045D" w14:textId="77777777" w:rsidTr="00A07F4E">
        <w:trPr>
          <w:trHeight w:val="300"/>
          <w:jc w:val="center"/>
        </w:trPr>
        <w:tc>
          <w:tcPr>
            <w:tcW w:w="1800" w:type="dxa"/>
            <w:tcBorders>
              <w:top w:val="nil"/>
              <w:left w:val="nil"/>
              <w:bottom w:val="nil"/>
              <w:right w:val="nil"/>
            </w:tcBorders>
            <w:shd w:val="clear" w:color="auto" w:fill="auto"/>
            <w:noWrap/>
            <w:vAlign w:val="center"/>
            <w:hideMark/>
          </w:tcPr>
          <w:p w14:paraId="6BC10A7A" w14:textId="77777777" w:rsidR="00E07993" w:rsidRPr="009F3A30" w:rsidRDefault="00E07993" w:rsidP="002078C6">
            <w:pPr>
              <w:spacing w:after="0" w:line="240" w:lineRule="auto"/>
              <w:jc w:val="center"/>
              <w:rPr>
                <w:b/>
                <w:color w:val="000000"/>
              </w:rPr>
            </w:pPr>
            <w:r w:rsidRPr="009F3A30">
              <w:rPr>
                <w:b/>
                <w:color w:val="000000"/>
              </w:rPr>
              <w:t>Maradványkockázat</w:t>
            </w:r>
          </w:p>
        </w:tc>
        <w:tc>
          <w:tcPr>
            <w:tcW w:w="1780" w:type="dxa"/>
            <w:tcBorders>
              <w:top w:val="single" w:sz="4" w:space="0" w:color="auto"/>
              <w:left w:val="single" w:sz="4" w:space="0" w:color="auto"/>
              <w:bottom w:val="single" w:sz="4" w:space="0" w:color="auto"/>
              <w:right w:val="single" w:sz="4" w:space="0" w:color="auto"/>
            </w:tcBorders>
            <w:shd w:val="clear" w:color="000000" w:fill="FF603B"/>
            <w:noWrap/>
            <w:vAlign w:val="center"/>
            <w:hideMark/>
          </w:tcPr>
          <w:p w14:paraId="67BBDA56" w14:textId="77777777" w:rsidR="00E07993" w:rsidRPr="00A07F4E" w:rsidRDefault="00E07993" w:rsidP="002078C6">
            <w:pPr>
              <w:spacing w:after="0" w:line="240" w:lineRule="auto"/>
              <w:jc w:val="center"/>
              <w:rPr>
                <w:rFonts w:eastAsia="Times New Roman" w:cs="Times New Roman"/>
              </w:rPr>
            </w:pPr>
            <w:r w:rsidRPr="009F3A30">
              <w:t>Nagyon jelentős</w:t>
            </w:r>
          </w:p>
        </w:tc>
      </w:tr>
    </w:tbl>
    <w:p w14:paraId="11182593" w14:textId="77777777" w:rsidR="00E07993" w:rsidRPr="00A07F4E" w:rsidRDefault="00E07993">
      <w:pPr>
        <w:rPr>
          <w:b/>
          <w:bCs/>
        </w:rPr>
      </w:pPr>
    </w:p>
    <w:p w14:paraId="66663E4F" w14:textId="74875447" w:rsidR="00F5259C" w:rsidRPr="00A07F4E" w:rsidRDefault="00F854FD" w:rsidP="006B6B99">
      <w:pPr>
        <w:pStyle w:val="Cmsor2"/>
      </w:pPr>
      <w:bookmarkStart w:id="292" w:name="_Toc109906077"/>
      <w:r w:rsidRPr="00A07F4E">
        <w:t>Pénztárak</w:t>
      </w:r>
      <w:r w:rsidR="00BF36B4">
        <w:rPr>
          <w:rStyle w:val="Lbjegyzet-hivatkozs"/>
        </w:rPr>
        <w:footnoteReference w:id="30"/>
      </w:r>
      <w:bookmarkEnd w:id="292"/>
    </w:p>
    <w:p w14:paraId="7B714898" w14:textId="77777777" w:rsidR="00F854FD" w:rsidRPr="00A07F4E" w:rsidRDefault="00F854FD" w:rsidP="00A07F4E">
      <w:pPr>
        <w:pStyle w:val="Cmsor3"/>
        <w:numPr>
          <w:ilvl w:val="0"/>
          <w:numId w:val="160"/>
        </w:numPr>
      </w:pPr>
      <w:bookmarkStart w:id="293" w:name="_Toc109906078"/>
      <w:r w:rsidRPr="00A07F4E">
        <w:t>A szektor méretére, tevékenységi körére és összetettségére vonatkozó információk összesített formában</w:t>
      </w:r>
      <w:bookmarkEnd w:id="293"/>
    </w:p>
    <w:p w14:paraId="43FADEA3" w14:textId="18BC93D0" w:rsidR="00D44E65" w:rsidRPr="00A07F4E" w:rsidRDefault="00B64C53" w:rsidP="00B64C53">
      <w:r w:rsidRPr="009F3A30">
        <w:t>A</w:t>
      </w:r>
      <w:r w:rsidR="00BF36B4">
        <w:t>z MNB</w:t>
      </w:r>
      <w:r w:rsidRPr="009F3A30">
        <w:t xml:space="preserve"> Magyarországon </w:t>
      </w:r>
      <w:proofErr w:type="spellStart"/>
      <w:r w:rsidRPr="009F3A30">
        <w:t>AML</w:t>
      </w:r>
      <w:proofErr w:type="spellEnd"/>
      <w:r w:rsidRPr="009F3A30">
        <w:t>/</w:t>
      </w:r>
      <w:proofErr w:type="spellStart"/>
      <w:r w:rsidRPr="009F3A30">
        <w:t>CFT</w:t>
      </w:r>
      <w:proofErr w:type="spellEnd"/>
      <w:r w:rsidRPr="009F3A30">
        <w:t xml:space="preserve"> felügyeletet összesen </w:t>
      </w:r>
      <w:r w:rsidRPr="00FC37B3">
        <w:t>50</w:t>
      </w:r>
      <w:r w:rsidR="004C2C36" w:rsidRPr="00FC37B3">
        <w:t xml:space="preserve"> </w:t>
      </w:r>
      <w:r w:rsidRPr="00FC37B3">
        <w:t xml:space="preserve">és </w:t>
      </w:r>
      <w:r w:rsidR="008817A0" w:rsidRPr="00FC37B3">
        <w:t>6</w:t>
      </w:r>
      <w:r w:rsidRPr="00FC37B3">
        <w:t>0 közötti</w:t>
      </w:r>
      <w:r w:rsidRPr="00646EB8">
        <w:t xml:space="preserve"> </w:t>
      </w:r>
      <w:r w:rsidRPr="009F3A30">
        <w:t xml:space="preserve">pénztár felett gyakorol. A pénztári szektorhoz tartozik az </w:t>
      </w:r>
      <w:r w:rsidRPr="0084068A">
        <w:t>egészség- és önsegélyező pénztár, az önkéntes nyugdíjpénztár</w:t>
      </w:r>
      <w:r w:rsidR="004C2C36" w:rsidRPr="009F3A30">
        <w:t>, illetve</w:t>
      </w:r>
      <w:r w:rsidRPr="009F3A30">
        <w:t xml:space="preserve"> az önkéntes pénztár</w:t>
      </w:r>
      <w:r w:rsidR="0042681B">
        <w:t>.</w:t>
      </w:r>
      <w:r w:rsidRPr="00A07F4E">
        <w:t xml:space="preserve"> </w:t>
      </w:r>
    </w:p>
    <w:p w14:paraId="0A3BF0F4" w14:textId="77777777" w:rsidR="00F854FD" w:rsidRPr="00A07F4E" w:rsidRDefault="00F854FD" w:rsidP="00A07F4E">
      <w:pPr>
        <w:pStyle w:val="Cmsor3"/>
        <w:numPr>
          <w:ilvl w:val="0"/>
          <w:numId w:val="160"/>
        </w:numPr>
      </w:pPr>
      <w:bookmarkStart w:id="294" w:name="_Toc109906079"/>
      <w:r w:rsidRPr="00A07F4E">
        <w:t>Inherens kockázatértékelés</w:t>
      </w:r>
      <w:bookmarkEnd w:id="294"/>
    </w:p>
    <w:p w14:paraId="38977D09" w14:textId="77777777" w:rsidR="00F854FD" w:rsidRPr="00A07F4E" w:rsidRDefault="00F854FD" w:rsidP="00A07F4E">
      <w:pPr>
        <w:pStyle w:val="Listaszerbekezds"/>
        <w:numPr>
          <w:ilvl w:val="1"/>
          <w:numId w:val="26"/>
        </w:numPr>
        <w:ind w:left="851" w:hanging="284"/>
      </w:pPr>
      <w:r w:rsidRPr="00A07F4E">
        <w:t>A pénztári szektorban rejlő ML/</w:t>
      </w:r>
      <w:proofErr w:type="spellStart"/>
      <w:r w:rsidRPr="00A07F4E">
        <w:t>TF</w:t>
      </w:r>
      <w:proofErr w:type="spellEnd"/>
      <w:r w:rsidRPr="00A07F4E">
        <w:t xml:space="preserve"> kockázati tényezők</w:t>
      </w:r>
    </w:p>
    <w:p w14:paraId="57B36B2C" w14:textId="40D935FE" w:rsidR="0042681B" w:rsidRDefault="00DB1DFC" w:rsidP="0042681B">
      <w:r w:rsidRPr="0023718A">
        <w:t>A</w:t>
      </w:r>
      <w:r w:rsidR="0042681B" w:rsidRPr="0023718A">
        <w:t>z</w:t>
      </w:r>
      <w:r w:rsidRPr="0023718A">
        <w:t xml:space="preserve"> </w:t>
      </w:r>
      <w:r w:rsidR="0042681B" w:rsidRPr="006B6B99">
        <w:t>MNB</w:t>
      </w:r>
      <w:r w:rsidRPr="0023718A">
        <w:t xml:space="preserve"> az értékesítési csatornákban megjelenő kockázatot Mérsékelten jelentősnek, a földrajzi kitettségben, az ügyfelekben, termékekben/szolgáltatásokban rejlő kockázatokat pedig Kevésbé jelentősnek</w:t>
      </w:r>
      <w:r w:rsidR="0023718A" w:rsidRPr="006B6B99">
        <w:t xml:space="preserve"> </w:t>
      </w:r>
      <w:r w:rsidRPr="0023718A">
        <w:t>értékelte.</w:t>
      </w:r>
      <w:r w:rsidR="0042681B" w:rsidRPr="00A07F4E">
        <w:t xml:space="preserve"> </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42681B" w:rsidRPr="003168BA" w14:paraId="1312392E" w14:textId="77777777" w:rsidTr="00300DCA">
        <w:trPr>
          <w:trHeight w:val="314"/>
        </w:trPr>
        <w:tc>
          <w:tcPr>
            <w:tcW w:w="3061" w:type="dxa"/>
          </w:tcPr>
          <w:p w14:paraId="19236701" w14:textId="77777777" w:rsidR="0042681B" w:rsidRPr="00554E41" w:rsidRDefault="0042681B"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7E335A0A" w14:textId="77777777" w:rsidR="0042681B" w:rsidRPr="00554E41" w:rsidRDefault="0042681B"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42681B" w:rsidRPr="003168BA" w14:paraId="3956828B" w14:textId="77777777" w:rsidTr="006B6B99">
        <w:tc>
          <w:tcPr>
            <w:tcW w:w="3061" w:type="dxa"/>
            <w:shd w:val="clear" w:color="auto" w:fill="auto"/>
          </w:tcPr>
          <w:p w14:paraId="3D2863D1" w14:textId="77777777" w:rsidR="0042681B" w:rsidRPr="00554E41" w:rsidRDefault="0042681B"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92D050"/>
          </w:tcPr>
          <w:p w14:paraId="518A150D" w14:textId="1F4D3988" w:rsidR="0042681B" w:rsidRPr="00E11D42" w:rsidRDefault="0042681B" w:rsidP="00300DCA">
            <w:pPr>
              <w:spacing w:after="0" w:line="240" w:lineRule="auto"/>
              <w:contextualSpacing w:val="0"/>
              <w:jc w:val="center"/>
              <w:rPr>
                <w:rFonts w:eastAsia="Times New Roman" w:cs="Calibri"/>
                <w:color w:val="000000"/>
                <w:sz w:val="18"/>
                <w:szCs w:val="18"/>
              </w:rPr>
            </w:pPr>
            <w:r w:rsidRPr="00E11D42">
              <w:rPr>
                <w:rFonts w:eastAsia="Times New Roman" w:cs="Calibri"/>
                <w:color w:val="000000"/>
                <w:sz w:val="18"/>
                <w:szCs w:val="18"/>
              </w:rPr>
              <w:t>Kevésbé jelentős</w:t>
            </w:r>
          </w:p>
        </w:tc>
      </w:tr>
      <w:tr w:rsidR="0042681B" w14:paraId="239D9830" w14:textId="77777777" w:rsidTr="006B6B99">
        <w:tc>
          <w:tcPr>
            <w:tcW w:w="3061" w:type="dxa"/>
            <w:shd w:val="clear" w:color="auto" w:fill="auto"/>
          </w:tcPr>
          <w:p w14:paraId="46DADAC6" w14:textId="77777777" w:rsidR="0042681B" w:rsidRPr="00554E41" w:rsidRDefault="0042681B"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92D050"/>
          </w:tcPr>
          <w:p w14:paraId="5507B452" w14:textId="3C56B023" w:rsidR="0042681B" w:rsidRPr="00E11D42" w:rsidRDefault="0042681B" w:rsidP="00300DCA">
            <w:pPr>
              <w:spacing w:after="0" w:line="240" w:lineRule="auto"/>
              <w:contextualSpacing w:val="0"/>
              <w:jc w:val="center"/>
              <w:rPr>
                <w:rFonts w:eastAsia="Times New Roman" w:cs="Calibri"/>
                <w:color w:val="000000"/>
                <w:sz w:val="18"/>
                <w:szCs w:val="18"/>
              </w:rPr>
            </w:pPr>
            <w:r w:rsidRPr="00E11D42">
              <w:rPr>
                <w:rFonts w:eastAsia="Times New Roman" w:cs="Calibri"/>
                <w:color w:val="000000"/>
                <w:sz w:val="18"/>
                <w:szCs w:val="18"/>
              </w:rPr>
              <w:t>Kevésbé jelentős</w:t>
            </w:r>
          </w:p>
        </w:tc>
      </w:tr>
      <w:tr w:rsidR="0042681B" w14:paraId="48CAE6B5" w14:textId="77777777" w:rsidTr="006B6B99">
        <w:trPr>
          <w:trHeight w:val="50"/>
        </w:trPr>
        <w:tc>
          <w:tcPr>
            <w:tcW w:w="3061" w:type="dxa"/>
            <w:shd w:val="clear" w:color="auto" w:fill="auto"/>
          </w:tcPr>
          <w:p w14:paraId="6FE44094" w14:textId="77777777" w:rsidR="0042681B" w:rsidRPr="006B6B99" w:rsidRDefault="0042681B" w:rsidP="00300DCA">
            <w:pPr>
              <w:spacing w:after="0" w:line="240" w:lineRule="auto"/>
              <w:contextualSpacing w:val="0"/>
              <w:jc w:val="center"/>
              <w:rPr>
                <w:rFonts w:eastAsia="Times New Roman" w:cs="Times New Roman"/>
                <w:color w:val="000000"/>
                <w:sz w:val="18"/>
                <w:szCs w:val="18"/>
                <w:highlight w:val="cyan"/>
              </w:rPr>
            </w:pPr>
            <w:r w:rsidRPr="0023718A">
              <w:rPr>
                <w:rFonts w:eastAsia="Times New Roman" w:cs="Times New Roman"/>
                <w:color w:val="000000"/>
                <w:sz w:val="18"/>
                <w:szCs w:val="18"/>
              </w:rPr>
              <w:t>Földrajzi</w:t>
            </w:r>
          </w:p>
        </w:tc>
        <w:tc>
          <w:tcPr>
            <w:tcW w:w="3035" w:type="dxa"/>
            <w:shd w:val="clear" w:color="auto" w:fill="92D050"/>
          </w:tcPr>
          <w:p w14:paraId="228E511F" w14:textId="399D1C2D" w:rsidR="0042681B" w:rsidRPr="006B6B99" w:rsidRDefault="0042681B" w:rsidP="00300DCA">
            <w:pPr>
              <w:spacing w:after="0" w:line="240" w:lineRule="auto"/>
              <w:contextualSpacing w:val="0"/>
              <w:jc w:val="center"/>
              <w:rPr>
                <w:rFonts w:eastAsia="Times New Roman" w:cs="Calibri"/>
                <w:color w:val="000000"/>
                <w:sz w:val="18"/>
                <w:szCs w:val="18"/>
                <w:highlight w:val="cyan"/>
              </w:rPr>
            </w:pPr>
            <w:r w:rsidRPr="0023718A">
              <w:rPr>
                <w:rFonts w:eastAsia="Times New Roman" w:cs="Calibri"/>
                <w:color w:val="000000"/>
                <w:sz w:val="18"/>
                <w:szCs w:val="18"/>
              </w:rPr>
              <w:t>Kevésbé jelentős</w:t>
            </w:r>
          </w:p>
        </w:tc>
      </w:tr>
      <w:tr w:rsidR="0042681B" w14:paraId="2E8F9983" w14:textId="77777777" w:rsidTr="006B6B99">
        <w:tc>
          <w:tcPr>
            <w:tcW w:w="3061" w:type="dxa"/>
            <w:shd w:val="clear" w:color="auto" w:fill="auto"/>
          </w:tcPr>
          <w:p w14:paraId="2B017C6E" w14:textId="77777777" w:rsidR="0042681B" w:rsidRPr="00554E41" w:rsidRDefault="0042681B"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FFFF00"/>
          </w:tcPr>
          <w:p w14:paraId="730F5728" w14:textId="0DC390A4" w:rsidR="0042681B" w:rsidRPr="00554E41" w:rsidRDefault="0042681B"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bl>
    <w:p w14:paraId="401C8F2D" w14:textId="0C5FD5AB" w:rsidR="00680E43" w:rsidRDefault="00680E43" w:rsidP="00FC37B3">
      <w:pPr>
        <w:spacing w:before="120"/>
      </w:pPr>
      <w:r w:rsidRPr="00680E43">
        <w:lastRenderedPageBreak/>
        <w:t xml:space="preserve">A pénztári termékek nem teszik lehetővé a névtelen tranzakciókat, kockázat a kifizetéskor jelentkezik. </w:t>
      </w:r>
      <w:r w:rsidRPr="009F3A30">
        <w:t xml:space="preserve">Készpénz ügyletek nem jellemzőek és a szektor csak más szektorok közreműködésével tud jelentős összegű ügyleteket lebonyolítani, amelyet kockázatcsökkentő tényezőként </w:t>
      </w:r>
      <w:r w:rsidRPr="00BC33D3">
        <w:t xml:space="preserve">értékelt </w:t>
      </w:r>
      <w:r w:rsidRPr="007C10F9">
        <w:t>az MNB</w:t>
      </w:r>
      <w:r>
        <w:t>.</w:t>
      </w:r>
    </w:p>
    <w:p w14:paraId="3B364A1A" w14:textId="10DAF5A8" w:rsidR="00D34982" w:rsidRPr="00A07F4E" w:rsidRDefault="00BC33D3" w:rsidP="00D34982">
      <w:r>
        <w:t>A szektorban k</w:t>
      </w:r>
      <w:r w:rsidR="00DB1DFC" w:rsidRPr="009F3A30">
        <w:t xml:space="preserve">ockázatként került azonosításra </w:t>
      </w:r>
      <w:r>
        <w:t xml:space="preserve">a kockázatérzékenységi megközelítést </w:t>
      </w:r>
      <w:r w:rsidR="006A3449">
        <w:t>megvalósító</w:t>
      </w:r>
      <w:r>
        <w:t xml:space="preserve"> eljárások hiánya. </w:t>
      </w:r>
      <w:r w:rsidR="00DB1DFC" w:rsidRPr="009F3A30">
        <w:t xml:space="preserve"> Jelen szektorra is általánosságban elmondható, hogy a szektorhoz tartozó </w:t>
      </w:r>
      <w:r w:rsidR="008C1A55">
        <w:t>szolgáltatók</w:t>
      </w:r>
      <w:r w:rsidR="00DB1DFC" w:rsidRPr="009F3A30">
        <w:t xml:space="preserve"> fejlesztendő </w:t>
      </w:r>
      <w:proofErr w:type="spellStart"/>
      <w:r w:rsidR="00DB1DFC" w:rsidRPr="00572DC7">
        <w:t>AML</w:t>
      </w:r>
      <w:proofErr w:type="spellEnd"/>
      <w:r w:rsidR="00DB1DFC" w:rsidRPr="009F3A30">
        <w:t xml:space="preserve"> tranzakció </w:t>
      </w:r>
      <w:proofErr w:type="spellStart"/>
      <w:r w:rsidR="00DB1DFC" w:rsidRPr="009F3A30">
        <w:t>monitoringgal</w:t>
      </w:r>
      <w:proofErr w:type="spellEnd"/>
      <w:r w:rsidR="00DB1DFC" w:rsidRPr="009F3A30">
        <w:t xml:space="preserve"> és gyanús ügyletek bejelentésére vonatkozó politikákkal és eljárásokkal rendelkeznek.  </w:t>
      </w:r>
      <w:r w:rsidR="008C1A55">
        <w:t>A szolgáltatók</w:t>
      </w:r>
      <w:r w:rsidR="00DB1DFC" w:rsidRPr="009F3A30">
        <w:t xml:space="preserve"> a felügyleti adatszolgáltatások teljesítése során több esetben nem megfelelő adatokat bocsátanak rendelkezésre. </w:t>
      </w:r>
    </w:p>
    <w:p w14:paraId="2CC596A5" w14:textId="77777777" w:rsidR="00D34982" w:rsidRPr="00A07F4E" w:rsidRDefault="00F854FD" w:rsidP="00A07F4E">
      <w:pPr>
        <w:pStyle w:val="Listaszerbekezds"/>
        <w:numPr>
          <w:ilvl w:val="1"/>
          <w:numId w:val="26"/>
        </w:numPr>
        <w:ind w:left="851" w:hanging="284"/>
      </w:pPr>
      <w:r w:rsidRPr="00A07F4E">
        <w:t>A pénztári szektorban rejlő, határokon átnyúló ML/</w:t>
      </w:r>
      <w:proofErr w:type="spellStart"/>
      <w:r w:rsidRPr="00A07F4E">
        <w:t>TF</w:t>
      </w:r>
      <w:proofErr w:type="spellEnd"/>
      <w:r w:rsidRPr="00A07F4E">
        <w:t xml:space="preserve"> kockázatok</w:t>
      </w:r>
    </w:p>
    <w:p w14:paraId="3331118F" w14:textId="4F74C5E9" w:rsidR="00D34982" w:rsidRDefault="00D34982" w:rsidP="00A07F4E">
      <w:r w:rsidRPr="009F3A30">
        <w:t xml:space="preserve">A szektorra nem jellemző a külföldi érintettség, tipikusan magyar ügyfelekkel rendelkeznek a szektorhoz tartozó </w:t>
      </w:r>
      <w:r w:rsidR="008C1A55">
        <w:t>szolgáltatók</w:t>
      </w:r>
      <w:r w:rsidRPr="009F3A30">
        <w:t xml:space="preserve">. </w:t>
      </w:r>
      <w:r w:rsidR="00BC33D3">
        <w:t>Továbbá n</w:t>
      </w:r>
      <w:r w:rsidR="00BC33D3" w:rsidRPr="00BC33D3">
        <w:t>incsenek határon átnyúló tranzakciók.</w:t>
      </w:r>
    </w:p>
    <w:p w14:paraId="7C7B57B6" w14:textId="473E2F42" w:rsidR="00D34982" w:rsidRPr="00A07F4E" w:rsidRDefault="00D34982" w:rsidP="00A07F4E">
      <w:pPr>
        <w:rPr>
          <w:b/>
          <w:bCs/>
        </w:rPr>
      </w:pPr>
      <w:r w:rsidRPr="006B6B99">
        <w:rPr>
          <w:b/>
        </w:rPr>
        <w:t>A</w:t>
      </w:r>
      <w:r w:rsidR="00BC33D3" w:rsidRPr="006B6B99">
        <w:rPr>
          <w:b/>
        </w:rPr>
        <w:t>z MNB</w:t>
      </w:r>
      <w:r w:rsidR="00C01EE4">
        <w:rPr>
          <w:b/>
        </w:rPr>
        <w:t xml:space="preserve"> </w:t>
      </w:r>
      <w:r w:rsidRPr="009F3A30">
        <w:rPr>
          <w:b/>
        </w:rPr>
        <w:t>értékelése alapján</w:t>
      </w:r>
      <w:r w:rsidR="005132F6" w:rsidRPr="009F3A30">
        <w:rPr>
          <w:b/>
        </w:rPr>
        <w:t>, figyelembe véve a fent részletezetteket</w:t>
      </w:r>
      <w:r w:rsidRPr="009F3A30">
        <w:rPr>
          <w:b/>
        </w:rPr>
        <w:t xml:space="preserve"> a pénztári szektor Kevésbé jelentős inherens kockázati értékkel rendelkezik.</w:t>
      </w:r>
    </w:p>
    <w:tbl>
      <w:tblPr>
        <w:tblW w:w="3680" w:type="dxa"/>
        <w:jc w:val="center"/>
        <w:tblCellMar>
          <w:left w:w="70" w:type="dxa"/>
          <w:right w:w="70" w:type="dxa"/>
        </w:tblCellMar>
        <w:tblLook w:val="04A0" w:firstRow="1" w:lastRow="0" w:firstColumn="1" w:lastColumn="0" w:noHBand="0" w:noVBand="1"/>
      </w:tblPr>
      <w:tblGrid>
        <w:gridCol w:w="1780"/>
        <w:gridCol w:w="1900"/>
      </w:tblGrid>
      <w:tr w:rsidR="00D34982" w:rsidRPr="00A07F4E" w14:paraId="72AE849C" w14:textId="77777777" w:rsidTr="002078C6">
        <w:trPr>
          <w:trHeight w:val="300"/>
          <w:jc w:val="center"/>
        </w:trPr>
        <w:tc>
          <w:tcPr>
            <w:tcW w:w="1780" w:type="dxa"/>
            <w:tcBorders>
              <w:top w:val="nil"/>
              <w:left w:val="nil"/>
              <w:bottom w:val="nil"/>
              <w:right w:val="nil"/>
            </w:tcBorders>
            <w:shd w:val="clear" w:color="auto" w:fill="auto"/>
            <w:noWrap/>
            <w:vAlign w:val="center"/>
            <w:hideMark/>
          </w:tcPr>
          <w:p w14:paraId="22E0ED3C" w14:textId="77777777" w:rsidR="00D34982" w:rsidRPr="00A07F4E" w:rsidRDefault="00D34982" w:rsidP="002078C6">
            <w:pPr>
              <w:spacing w:after="0" w:line="240" w:lineRule="auto"/>
              <w:jc w:val="center"/>
              <w:rPr>
                <w:rFonts w:eastAsia="Times New Roman" w:cs="Calibri"/>
                <w:b/>
                <w:bCs/>
                <w:color w:val="000000"/>
              </w:rPr>
            </w:pPr>
            <w:r w:rsidRPr="00A07F4E">
              <w:rPr>
                <w:rFonts w:eastAsia="Times New Roman" w:cs="Calibri"/>
                <w:b/>
                <w:bCs/>
                <w:color w:val="000000"/>
              </w:rPr>
              <w:t>Inherens kockázat:</w:t>
            </w:r>
            <w:r w:rsidRPr="00A07F4E">
              <w:rPr>
                <w:rFonts w:eastAsia="Times New Roman" w:cs="Calibri"/>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9F9E40D" w14:textId="77777777" w:rsidR="00D34982" w:rsidRPr="00A07F4E" w:rsidRDefault="00D34982" w:rsidP="002078C6">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r>
    </w:tbl>
    <w:p w14:paraId="2C225639" w14:textId="77777777" w:rsidR="00D34982" w:rsidRPr="00A07F4E" w:rsidRDefault="00D34982" w:rsidP="00A07F4E"/>
    <w:p w14:paraId="3C52A4CB" w14:textId="77777777" w:rsidR="00F854FD" w:rsidRPr="00A07F4E" w:rsidRDefault="00F854FD" w:rsidP="00A07F4E">
      <w:pPr>
        <w:pStyle w:val="Cmsor3"/>
        <w:numPr>
          <w:ilvl w:val="0"/>
          <w:numId w:val="160"/>
        </w:numPr>
      </w:pPr>
      <w:bookmarkStart w:id="295" w:name="_Toc109906080"/>
      <w:r w:rsidRPr="00A07F4E">
        <w:t>Az ellenőrzések minősége</w:t>
      </w:r>
      <w:r w:rsidR="006E6CC3" w:rsidRPr="00A07F4E">
        <w:t>, felügyeleti tevékenység, azonosított jogsértések</w:t>
      </w:r>
      <w:bookmarkEnd w:id="295"/>
    </w:p>
    <w:p w14:paraId="4988E2A7" w14:textId="4AE305D8" w:rsidR="006E6CC3" w:rsidRPr="009F3A30" w:rsidRDefault="006E6CC3" w:rsidP="006E6CC3">
      <w:r w:rsidRPr="009F3A30">
        <w:t>A</w:t>
      </w:r>
      <w:r w:rsidR="00BC33D3">
        <w:t>z MNB a</w:t>
      </w:r>
      <w:r w:rsidRPr="009F3A30">
        <w:t xml:space="preserve"> </w:t>
      </w:r>
      <w:r w:rsidR="007102CC" w:rsidRPr="009F3A30">
        <w:t>pénztárak</w:t>
      </w:r>
      <w:r w:rsidRPr="009F3A30">
        <w:t xml:space="preserve"> ellenőrzéseinek megfelelőségét és minőségét </w:t>
      </w:r>
      <w:r w:rsidR="007102CC" w:rsidRPr="009F3A30">
        <w:t xml:space="preserve">tekintve </w:t>
      </w:r>
      <w:r w:rsidR="008C1A55">
        <w:t>a szolgáltatók</w:t>
      </w:r>
      <w:r w:rsidRPr="009F3A30">
        <w:t xml:space="preserve"> egészére kiterjedő, az egyes üzleti kapcsolatokra alkalmazott kockázatértékelést </w:t>
      </w:r>
      <w:r w:rsidR="007102CC" w:rsidRPr="009F3A30">
        <w:t>minősíti</w:t>
      </w:r>
      <w:r w:rsidRPr="009F3A30">
        <w:t xml:space="preserve"> gyengének</w:t>
      </w:r>
      <w:r w:rsidRPr="006B6B99">
        <w:t>.</w:t>
      </w:r>
      <w:r w:rsidR="007102CC" w:rsidRPr="006B6B99">
        <w:t xml:space="preserve"> </w:t>
      </w:r>
      <w:r w:rsidRPr="006B6B99">
        <w:t>A</w:t>
      </w:r>
      <w:r w:rsidR="00BC33D3">
        <w:t xml:space="preserve">z MNB </w:t>
      </w:r>
      <w:r w:rsidR="008C1A55">
        <w:t>a szolgáltatók</w:t>
      </w:r>
      <w:r w:rsidRPr="009F3A30">
        <w:t xml:space="preserve"> felügyelete során </w:t>
      </w:r>
      <w:r w:rsidR="007102CC" w:rsidRPr="009F3A30">
        <w:t xml:space="preserve">kockázatot </w:t>
      </w:r>
      <w:r w:rsidRPr="009F3A30">
        <w:t>az ügyfelek kockázatértékelésével, a gyanús tranzakciók jelentésével, valamint az oktatással és a tudatossággal kapcsolatban azonosított.</w:t>
      </w:r>
    </w:p>
    <w:p w14:paraId="236BF185" w14:textId="7CAEA361" w:rsidR="00455C72" w:rsidRPr="009F3A30" w:rsidRDefault="006E6CC3" w:rsidP="006E6CC3">
      <w:r w:rsidRPr="009F3A30">
        <w:t>A pénztárak tevékenységét</w:t>
      </w:r>
      <w:r w:rsidRPr="00BC33D3">
        <w:t xml:space="preserve"> </w:t>
      </w:r>
      <w:r w:rsidR="00BC33D3">
        <w:t>az MNB</w:t>
      </w:r>
      <w:r w:rsidRPr="009F3A30">
        <w:t xml:space="preserve"> jellemzően </w:t>
      </w:r>
      <w:r w:rsidRPr="006B6B99">
        <w:t>folyamatos</w:t>
      </w:r>
      <w:r w:rsidRPr="009F3A30">
        <w:t xml:space="preserve"> felügyelés keretében, illetve </w:t>
      </w:r>
      <w:proofErr w:type="spellStart"/>
      <w:r w:rsidRPr="009F3A30">
        <w:t>off</w:t>
      </w:r>
      <w:proofErr w:type="spellEnd"/>
      <w:r w:rsidRPr="009F3A30">
        <w:t xml:space="preserve">-site </w:t>
      </w:r>
      <w:r w:rsidR="003315BE" w:rsidRPr="009F3A30">
        <w:t xml:space="preserve">jellegű </w:t>
      </w:r>
      <w:r w:rsidR="00C717F9" w:rsidRPr="009F3A30">
        <w:t xml:space="preserve">jelzések esetén </w:t>
      </w:r>
      <w:r w:rsidR="003315BE" w:rsidRPr="009F3A30">
        <w:t>ellenőrzi</w:t>
      </w:r>
      <w:r w:rsidRPr="009F3A30">
        <w:t xml:space="preserve">. </w:t>
      </w:r>
      <w:r w:rsidR="00CF79A2">
        <w:t>A</w:t>
      </w:r>
      <w:r w:rsidR="008A455D">
        <w:t>z</w:t>
      </w:r>
      <w:r w:rsidR="00CF79A2">
        <w:t xml:space="preserve"> MNB</w:t>
      </w:r>
      <w:r w:rsidR="00C717F9" w:rsidRPr="009F3A30">
        <w:t xml:space="preserve"> </w:t>
      </w:r>
      <w:r w:rsidRPr="009F3A30">
        <w:t>a pénztára</w:t>
      </w:r>
      <w:r w:rsidR="00F85DC2" w:rsidRPr="009F3A30">
        <w:t>kat az általuk</w:t>
      </w:r>
      <w:r w:rsidRPr="009F3A30">
        <w:t xml:space="preserve"> szolgáltatott éves és negyedéves adatok, pénztárak ügyfeleitől, illetve társhatóságoktól érkező panaszok és sajtófigyelés </w:t>
      </w:r>
      <w:r w:rsidR="00F85DC2" w:rsidRPr="009F3A30">
        <w:t>során szerzett információk alapján</w:t>
      </w:r>
      <w:r w:rsidR="00C717F9" w:rsidRPr="009F3A30">
        <w:t xml:space="preserve"> felügyeli, felmerülő kockázati jelzés alapján ellenőrzi</w:t>
      </w:r>
      <w:r w:rsidRPr="009F3A30">
        <w:t xml:space="preserve">. </w:t>
      </w:r>
      <w:r w:rsidR="00455C72" w:rsidRPr="006B6B99">
        <w:t>A</w:t>
      </w:r>
      <w:r w:rsidR="00CF79A2">
        <w:t>z MNB</w:t>
      </w:r>
      <w:r w:rsidR="00455C72" w:rsidRPr="009F3A30">
        <w:t xml:space="preserve">-nek a szektort tekintve – a kockázatalapú megközelítésre, illetve a Kevésbé jelentős inherens kockázatra figyelemmel – csekély a rendelkezésre álló felügyeleti tapasztalata.  </w:t>
      </w:r>
    </w:p>
    <w:p w14:paraId="7F1D2E6A" w14:textId="77777777" w:rsidR="006E6CC3" w:rsidRPr="00A07F4E" w:rsidRDefault="006E6CC3" w:rsidP="006E6CC3">
      <w:r w:rsidRPr="009F3A30">
        <w:t xml:space="preserve">Megjegyzendő, hogy a pénztárak </w:t>
      </w:r>
      <w:r w:rsidR="00BA1504" w:rsidRPr="009F3A30">
        <w:t>gyanús tranzakciókhoz kapcsolódó bejelentéseik száma a többi szektoréhoz viszonyítva alacsonyabb, azonban ez a Kevésbé jelentős inherens kockázati besorolásra tekintettel nem nevezhető szokatlannak, így kockázatot növelő tényezőnek.</w:t>
      </w:r>
      <w:r w:rsidR="00BA1504" w:rsidRPr="00A07F4E">
        <w:t xml:space="preserve"> </w:t>
      </w:r>
    </w:p>
    <w:p w14:paraId="1D8A9411" w14:textId="77777777" w:rsidR="00F854FD" w:rsidRPr="00A07F4E" w:rsidRDefault="00F854FD" w:rsidP="00A07F4E">
      <w:pPr>
        <w:pStyle w:val="Cmsor3"/>
        <w:numPr>
          <w:ilvl w:val="0"/>
          <w:numId w:val="160"/>
        </w:numPr>
      </w:pPr>
      <w:bookmarkStart w:id="296" w:name="_Toc109906081"/>
      <w:r w:rsidRPr="00A07F4E">
        <w:t>Maradványkockázat</w:t>
      </w:r>
      <w:bookmarkEnd w:id="296"/>
    </w:p>
    <w:p w14:paraId="685F17E1" w14:textId="7C790EE5" w:rsidR="00056124" w:rsidRPr="00A07F4E" w:rsidRDefault="002C00B3" w:rsidP="00056124">
      <w:r w:rsidRPr="009F3A30">
        <w:t>Ez idáig a</w:t>
      </w:r>
      <w:r w:rsidR="00C06433">
        <w:t>z MNB</w:t>
      </w:r>
      <w:r w:rsidRPr="009F3A30">
        <w:t xml:space="preserve">-nek olyan kockázatot </w:t>
      </w:r>
      <w:r w:rsidR="00E80E5C" w:rsidRPr="009F3A30">
        <w:t>növelő</w:t>
      </w:r>
      <w:r w:rsidRPr="009F3A30">
        <w:t xml:space="preserve"> tényező nem jutott a tudomására, amely hatással lenne az inherens kockázati tényezőre, annak eltérítését indokolná. </w:t>
      </w:r>
      <w:r w:rsidR="00F854FD" w:rsidRPr="009F3A30">
        <w:t>A</w:t>
      </w:r>
      <w:r w:rsidR="00C06433">
        <w:t>z MNB</w:t>
      </w:r>
      <w:r w:rsidR="008A455D">
        <w:t xml:space="preserve"> </w:t>
      </w:r>
      <w:r w:rsidR="00056124" w:rsidRPr="009F3A30">
        <w:t>mérlegelve a szektornál részletezetteket a maradványkockázatot Kevésbé jelentősnek értékeli, amely az inherens kockázati besorolással megegyezik.</w:t>
      </w:r>
      <w:r w:rsidR="00056124" w:rsidRPr="00A07F4E">
        <w:t xml:space="preserve">  </w:t>
      </w:r>
    </w:p>
    <w:tbl>
      <w:tblPr>
        <w:tblW w:w="3180" w:type="dxa"/>
        <w:jc w:val="center"/>
        <w:tblCellMar>
          <w:left w:w="70" w:type="dxa"/>
          <w:right w:w="70" w:type="dxa"/>
        </w:tblCellMar>
        <w:tblLook w:val="04A0" w:firstRow="1" w:lastRow="0" w:firstColumn="1" w:lastColumn="0" w:noHBand="0" w:noVBand="1"/>
      </w:tblPr>
      <w:tblGrid>
        <w:gridCol w:w="1698"/>
        <w:gridCol w:w="1520"/>
      </w:tblGrid>
      <w:tr w:rsidR="00F20D10" w:rsidRPr="00A07F4E" w14:paraId="6C045C9B" w14:textId="77777777" w:rsidTr="00F20D10">
        <w:trPr>
          <w:trHeight w:val="300"/>
          <w:jc w:val="center"/>
        </w:trPr>
        <w:tc>
          <w:tcPr>
            <w:tcW w:w="1660" w:type="dxa"/>
            <w:tcBorders>
              <w:top w:val="nil"/>
              <w:left w:val="nil"/>
              <w:bottom w:val="nil"/>
              <w:right w:val="nil"/>
            </w:tcBorders>
            <w:shd w:val="clear" w:color="auto" w:fill="auto"/>
            <w:noWrap/>
            <w:vAlign w:val="center"/>
            <w:hideMark/>
          </w:tcPr>
          <w:p w14:paraId="23240C6D" w14:textId="77777777" w:rsidR="00F20D10" w:rsidRPr="00A07F4E" w:rsidRDefault="00F20D10" w:rsidP="00F20D10">
            <w:pPr>
              <w:spacing w:after="0" w:line="240" w:lineRule="auto"/>
              <w:jc w:val="center"/>
              <w:rPr>
                <w:rFonts w:eastAsia="Times New Roman" w:cs="Calibri"/>
                <w:b/>
                <w:bCs/>
                <w:color w:val="000000"/>
                <w:sz w:val="18"/>
                <w:szCs w:val="18"/>
              </w:rPr>
            </w:pPr>
            <w:r w:rsidRPr="00A07F4E">
              <w:rPr>
                <w:rFonts w:eastAsia="Times New Roman" w:cs="Calibri"/>
                <w:b/>
                <w:bCs/>
                <w:color w:val="000000"/>
                <w:sz w:val="18"/>
                <w:szCs w:val="18"/>
              </w:rPr>
              <w:t>Maradványkockázat:</w:t>
            </w: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FD647A" w14:textId="77777777" w:rsidR="00F20D10" w:rsidRPr="00A07F4E" w:rsidRDefault="00F20D10" w:rsidP="00F20D10">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r>
    </w:tbl>
    <w:p w14:paraId="3A3598CD" w14:textId="3533C657" w:rsidR="00C63813" w:rsidRDefault="00C63813" w:rsidP="00C63813">
      <w:pPr>
        <w:pStyle w:val="Cmsor2"/>
        <w:numPr>
          <w:ilvl w:val="0"/>
          <w:numId w:val="0"/>
        </w:numPr>
        <w:ind w:left="431" w:hanging="431"/>
      </w:pPr>
    </w:p>
    <w:p w14:paraId="1E4CD797" w14:textId="04F7897C" w:rsidR="00C63813" w:rsidRDefault="00C63813" w:rsidP="00C63813"/>
    <w:p w14:paraId="2762146B" w14:textId="78B61373" w:rsidR="00C63813" w:rsidRDefault="00C63813" w:rsidP="00C63813"/>
    <w:p w14:paraId="7C152706" w14:textId="77777777" w:rsidR="00C63813" w:rsidRPr="00C63813" w:rsidRDefault="00C63813" w:rsidP="00C63813"/>
    <w:p w14:paraId="025D8B6E" w14:textId="483BD3B5" w:rsidR="005D18D3" w:rsidRPr="00A07F4E" w:rsidRDefault="005D18D3" w:rsidP="006B6B99">
      <w:pPr>
        <w:pStyle w:val="Cmsor2"/>
      </w:pPr>
      <w:bookmarkStart w:id="297" w:name="_Toc109906082"/>
      <w:r w:rsidRPr="00A07F4E">
        <w:lastRenderedPageBreak/>
        <w:t>Foglalkoztatói nyugdíjszolgáltató</w:t>
      </w:r>
      <w:r w:rsidR="001C1F19">
        <w:t>k</w:t>
      </w:r>
      <w:r w:rsidR="008E13A0">
        <w:rPr>
          <w:rStyle w:val="Lbjegyzet-hivatkozs"/>
        </w:rPr>
        <w:footnoteReference w:id="31"/>
      </w:r>
      <w:bookmarkEnd w:id="297"/>
    </w:p>
    <w:p w14:paraId="59BA9D34" w14:textId="77777777" w:rsidR="005D18D3" w:rsidRPr="00A07F4E" w:rsidRDefault="005D18D3" w:rsidP="00A07F4E">
      <w:pPr>
        <w:pStyle w:val="Cmsor3"/>
        <w:numPr>
          <w:ilvl w:val="0"/>
          <w:numId w:val="168"/>
        </w:numPr>
      </w:pPr>
      <w:bookmarkStart w:id="298" w:name="_Toc109906083"/>
      <w:r w:rsidRPr="00A07F4E">
        <w:t>A szektor méretére, tevékenységi körére és összetettségére vonatkozó információk összesített formában</w:t>
      </w:r>
      <w:bookmarkEnd w:id="298"/>
    </w:p>
    <w:p w14:paraId="672DAE1B" w14:textId="4FA03471" w:rsidR="005D18D3" w:rsidRDefault="005D18D3" w:rsidP="005D18D3">
      <w:r w:rsidRPr="006B6B99">
        <w:t>A</w:t>
      </w:r>
      <w:r w:rsidR="001631C4" w:rsidRPr="001631C4">
        <w:t>z MNB</w:t>
      </w:r>
      <w:r w:rsidRPr="009F3A30">
        <w:t xml:space="preserve"> Magyarországon </w:t>
      </w:r>
      <w:proofErr w:type="spellStart"/>
      <w:r w:rsidRPr="009F3A30">
        <w:t>AML</w:t>
      </w:r>
      <w:proofErr w:type="spellEnd"/>
      <w:r w:rsidRPr="009F3A30">
        <w:t>/</w:t>
      </w:r>
      <w:proofErr w:type="spellStart"/>
      <w:r w:rsidRPr="009F3A30">
        <w:t>CFT</w:t>
      </w:r>
      <w:proofErr w:type="spellEnd"/>
      <w:r w:rsidRPr="009F3A30">
        <w:t xml:space="preserve"> felügyeletet </w:t>
      </w:r>
      <w:r w:rsidRPr="008817A0">
        <w:t xml:space="preserve">összesen </w:t>
      </w:r>
      <w:r w:rsidR="008817A0" w:rsidRPr="008817A0">
        <w:t xml:space="preserve">1 és </w:t>
      </w:r>
      <w:r w:rsidR="008817A0" w:rsidRPr="00FC37B3">
        <w:t xml:space="preserve">3 </w:t>
      </w:r>
      <w:r w:rsidR="008817A0" w:rsidRPr="008817A0">
        <w:t>közötti számú</w:t>
      </w:r>
      <w:r w:rsidRPr="009F3A30">
        <w:t xml:space="preserve"> foglalkoztatói nyugdíjszolgáltató felett gyakorol. </w:t>
      </w:r>
    </w:p>
    <w:p w14:paraId="5E7D26F6" w14:textId="77777777" w:rsidR="005D18D3" w:rsidRPr="00A07F4E" w:rsidRDefault="005D18D3" w:rsidP="00A07F4E">
      <w:pPr>
        <w:pStyle w:val="Cmsor3"/>
        <w:numPr>
          <w:ilvl w:val="0"/>
          <w:numId w:val="168"/>
        </w:numPr>
      </w:pPr>
      <w:bookmarkStart w:id="299" w:name="_Toc109906084"/>
      <w:r w:rsidRPr="00A07F4E">
        <w:t>Inherens kockázatértékelés</w:t>
      </w:r>
      <w:bookmarkEnd w:id="299"/>
    </w:p>
    <w:p w14:paraId="024C8D74" w14:textId="77777777" w:rsidR="005D18D3" w:rsidRPr="009F3A30" w:rsidRDefault="005D18D3" w:rsidP="00A07F4E">
      <w:pPr>
        <w:pStyle w:val="Listaszerbekezds"/>
        <w:numPr>
          <w:ilvl w:val="1"/>
          <w:numId w:val="37"/>
        </w:numPr>
        <w:ind w:left="851" w:hanging="284"/>
      </w:pPr>
      <w:r w:rsidRPr="009F3A30">
        <w:t>A foglalkoztatói nyugdíjszolgáltatói szektorban rejlő ML/</w:t>
      </w:r>
      <w:proofErr w:type="spellStart"/>
      <w:r w:rsidRPr="009F3A30">
        <w:t>TF</w:t>
      </w:r>
      <w:proofErr w:type="spellEnd"/>
      <w:r w:rsidRPr="009F3A30">
        <w:t xml:space="preserve"> kockázati tényezők</w:t>
      </w:r>
    </w:p>
    <w:p w14:paraId="4DDB45B3" w14:textId="4220CF63" w:rsidR="005D18D3" w:rsidRPr="009F3A30" w:rsidRDefault="005D18D3" w:rsidP="005D18D3">
      <w:r w:rsidRPr="006B6B99">
        <w:t>A</w:t>
      </w:r>
      <w:r w:rsidR="001631C4" w:rsidRPr="008A455D">
        <w:t>z MNB</w:t>
      </w:r>
      <w:r w:rsidRPr="008A455D">
        <w:t xml:space="preserve"> az értékesítési</w:t>
      </w:r>
      <w:r w:rsidRPr="0023718A">
        <w:t xml:space="preserve"> csatornákban megjelenő kockázatot Mérsékelten jelentősnek, a földrajzi kitettségben, az ügyfelekben, termékekben/szolgáltatásokban rejlő kockázatokat pedig Kevésbé jelentősnek </w:t>
      </w:r>
      <w:r w:rsidR="00FE604D" w:rsidRPr="0023718A">
        <w:t>mi</w:t>
      </w:r>
      <w:r w:rsidR="00135F34" w:rsidRPr="0023718A">
        <w:t>n</w:t>
      </w:r>
      <w:r w:rsidR="00FE604D" w:rsidRPr="0023718A">
        <w:t>ősítette</w:t>
      </w:r>
      <w:r w:rsidRPr="0023718A">
        <w:t>.</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1631C4" w:rsidRPr="003168BA" w14:paraId="661FF3C6" w14:textId="77777777" w:rsidTr="00300DCA">
        <w:trPr>
          <w:trHeight w:val="314"/>
        </w:trPr>
        <w:tc>
          <w:tcPr>
            <w:tcW w:w="3061" w:type="dxa"/>
          </w:tcPr>
          <w:p w14:paraId="7476DA4C" w14:textId="77777777" w:rsidR="001631C4" w:rsidRPr="00554E41" w:rsidRDefault="001631C4"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0EA18960" w14:textId="77777777" w:rsidR="001631C4" w:rsidRPr="00554E41" w:rsidRDefault="001631C4"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1631C4" w:rsidRPr="003168BA" w14:paraId="6E86F688" w14:textId="77777777" w:rsidTr="006B6B99">
        <w:tc>
          <w:tcPr>
            <w:tcW w:w="3061" w:type="dxa"/>
            <w:shd w:val="clear" w:color="auto" w:fill="auto"/>
          </w:tcPr>
          <w:p w14:paraId="72D7F334" w14:textId="77777777" w:rsidR="001631C4" w:rsidRPr="00554E41" w:rsidRDefault="001631C4"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92D050"/>
          </w:tcPr>
          <w:p w14:paraId="619A10E4" w14:textId="77777777" w:rsidR="001631C4" w:rsidRPr="00554E41" w:rsidRDefault="001631C4"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1631C4" w14:paraId="74A95654" w14:textId="77777777" w:rsidTr="006B6B99">
        <w:tc>
          <w:tcPr>
            <w:tcW w:w="3061" w:type="dxa"/>
            <w:shd w:val="clear" w:color="auto" w:fill="auto"/>
          </w:tcPr>
          <w:p w14:paraId="4AACBB56" w14:textId="77777777" w:rsidR="001631C4" w:rsidRPr="00554E41" w:rsidRDefault="001631C4"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92D050"/>
          </w:tcPr>
          <w:p w14:paraId="5F9BBCDD" w14:textId="77777777" w:rsidR="001631C4" w:rsidRPr="00554E41" w:rsidRDefault="001631C4"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1631C4" w14:paraId="2287915F" w14:textId="77777777" w:rsidTr="006B6B99">
        <w:trPr>
          <w:trHeight w:val="50"/>
        </w:trPr>
        <w:tc>
          <w:tcPr>
            <w:tcW w:w="3061" w:type="dxa"/>
            <w:shd w:val="clear" w:color="auto" w:fill="auto"/>
          </w:tcPr>
          <w:p w14:paraId="1F61D1DF" w14:textId="77777777" w:rsidR="001631C4" w:rsidRPr="006B6B99" w:rsidRDefault="001631C4" w:rsidP="00300DCA">
            <w:pPr>
              <w:spacing w:after="0" w:line="240" w:lineRule="auto"/>
              <w:contextualSpacing w:val="0"/>
              <w:jc w:val="center"/>
              <w:rPr>
                <w:rFonts w:eastAsia="Times New Roman" w:cs="Times New Roman"/>
                <w:color w:val="000000"/>
                <w:sz w:val="18"/>
                <w:szCs w:val="18"/>
                <w:highlight w:val="cyan"/>
              </w:rPr>
            </w:pPr>
            <w:r w:rsidRPr="0023718A">
              <w:rPr>
                <w:rFonts w:eastAsia="Times New Roman" w:cs="Times New Roman"/>
                <w:color w:val="000000"/>
                <w:sz w:val="18"/>
                <w:szCs w:val="18"/>
              </w:rPr>
              <w:t>Földrajzi</w:t>
            </w:r>
          </w:p>
        </w:tc>
        <w:tc>
          <w:tcPr>
            <w:tcW w:w="3035" w:type="dxa"/>
            <w:shd w:val="clear" w:color="auto" w:fill="92D050"/>
          </w:tcPr>
          <w:p w14:paraId="06BD2D82" w14:textId="7A0F0C89" w:rsidR="001631C4" w:rsidRPr="006B6B99" w:rsidRDefault="001631C4" w:rsidP="00300DCA">
            <w:pPr>
              <w:spacing w:after="0" w:line="240" w:lineRule="auto"/>
              <w:contextualSpacing w:val="0"/>
              <w:jc w:val="center"/>
              <w:rPr>
                <w:rFonts w:eastAsia="Times New Roman" w:cs="Times New Roman"/>
                <w:color w:val="000000"/>
                <w:sz w:val="18"/>
                <w:szCs w:val="18"/>
                <w:highlight w:val="cyan"/>
              </w:rPr>
            </w:pPr>
            <w:r w:rsidRPr="0023718A">
              <w:rPr>
                <w:rFonts w:eastAsia="Times New Roman" w:cs="Times New Roman"/>
                <w:color w:val="000000"/>
                <w:sz w:val="18"/>
                <w:szCs w:val="18"/>
              </w:rPr>
              <w:t>Kevésbé jelentős</w:t>
            </w:r>
          </w:p>
        </w:tc>
      </w:tr>
      <w:tr w:rsidR="001631C4" w14:paraId="57A7EC46" w14:textId="77777777" w:rsidTr="006B6B99">
        <w:tc>
          <w:tcPr>
            <w:tcW w:w="3061" w:type="dxa"/>
            <w:shd w:val="clear" w:color="auto" w:fill="auto"/>
          </w:tcPr>
          <w:p w14:paraId="45E0A561" w14:textId="77777777" w:rsidR="001631C4" w:rsidRPr="00554E41" w:rsidRDefault="001631C4"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FFFF00"/>
          </w:tcPr>
          <w:p w14:paraId="56355919" w14:textId="6A43DA27" w:rsidR="001631C4" w:rsidRPr="00554E41" w:rsidRDefault="001631C4"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bl>
    <w:p w14:paraId="5B36CAF1" w14:textId="0FD2CAE0" w:rsidR="005D18D3" w:rsidRPr="009F3A30" w:rsidRDefault="005D18D3" w:rsidP="00C63813">
      <w:pPr>
        <w:spacing w:before="120"/>
      </w:pPr>
      <w:r w:rsidRPr="009F3A30">
        <w:t xml:space="preserve">Jelen szektorra is általánosságban elmondható, hogy a szektorhoz tartozó </w:t>
      </w:r>
      <w:r w:rsidR="008C1A55">
        <w:t>szolgáltatók</w:t>
      </w:r>
      <w:r w:rsidRPr="009F3A30">
        <w:t xml:space="preserve"> fejlesztendő </w:t>
      </w:r>
      <w:proofErr w:type="spellStart"/>
      <w:r w:rsidRPr="006E35AE">
        <w:t>AML</w:t>
      </w:r>
      <w:proofErr w:type="spellEnd"/>
      <w:r w:rsidRPr="006E35AE">
        <w:t xml:space="preserve"> tranzakció</w:t>
      </w:r>
      <w:r w:rsidRPr="009F3A30">
        <w:t xml:space="preserve"> </w:t>
      </w:r>
      <w:proofErr w:type="spellStart"/>
      <w:r w:rsidRPr="009F3A30">
        <w:t>monitoringgal</w:t>
      </w:r>
      <w:proofErr w:type="spellEnd"/>
      <w:r w:rsidRPr="009F3A30">
        <w:t xml:space="preserve"> és gyanús ügyletek bejelentésére vonatkozó politikákkal és eljárásokkal rendelkeznek.  </w:t>
      </w:r>
      <w:r w:rsidR="008C1A55">
        <w:t>A szolgáltatók</w:t>
      </w:r>
      <w:r w:rsidRPr="009F3A30">
        <w:t xml:space="preserve"> a felügyleti adatszolgáltatások teljesítése során több esetben nem megfelelő adatokat bocsátanak rendelkezésre. </w:t>
      </w:r>
    </w:p>
    <w:p w14:paraId="601464ED" w14:textId="4C18E2E7" w:rsidR="005D18D3" w:rsidRPr="009F3A30" w:rsidRDefault="005D18D3" w:rsidP="005D18D3">
      <w:r w:rsidRPr="009F3A30">
        <w:t>Készpénz ügyletek nem jellemzőek</w:t>
      </w:r>
      <w:r w:rsidR="00FE604D" w:rsidRPr="009F3A30">
        <w:t xml:space="preserve">, illetve </w:t>
      </w:r>
      <w:r w:rsidRPr="009F3A30">
        <w:t>a szektor csak más szektorok közreműködésével tud jelentős összegű ügyleteket lebonyolítani, amely</w:t>
      </w:r>
      <w:r w:rsidR="00753220" w:rsidRPr="009F3A30">
        <w:t>e</w:t>
      </w:r>
      <w:r w:rsidR="00FE604D" w:rsidRPr="009F3A30">
        <w:t xml:space="preserve">t </w:t>
      </w:r>
      <w:r w:rsidR="00FE604D" w:rsidRPr="008E13A0">
        <w:t>a</w:t>
      </w:r>
      <w:r w:rsidR="008E13A0" w:rsidRPr="008E13A0">
        <w:t>z MNB</w:t>
      </w:r>
      <w:r w:rsidR="00156EC3">
        <w:t xml:space="preserve"> </w:t>
      </w:r>
      <w:r w:rsidRPr="009F3A30">
        <w:t>kockázatcsökkentő tényező</w:t>
      </w:r>
      <w:r w:rsidR="00FE604D" w:rsidRPr="009F3A30">
        <w:t>ként értékelt</w:t>
      </w:r>
      <w:r w:rsidRPr="009F3A30">
        <w:t xml:space="preserve">. </w:t>
      </w:r>
    </w:p>
    <w:p w14:paraId="0970CF16" w14:textId="77777777" w:rsidR="005D18D3" w:rsidRPr="009F3A30" w:rsidRDefault="005D18D3" w:rsidP="00A07F4E">
      <w:pPr>
        <w:pStyle w:val="Listaszerbekezds"/>
        <w:numPr>
          <w:ilvl w:val="1"/>
          <w:numId w:val="37"/>
        </w:numPr>
        <w:ind w:left="851" w:hanging="284"/>
      </w:pPr>
      <w:r w:rsidRPr="009F3A30">
        <w:t xml:space="preserve">A </w:t>
      </w:r>
      <w:r w:rsidR="003473DA" w:rsidRPr="009F3A30">
        <w:t xml:space="preserve">foglalkoztatói nyugdíjszolgáltatói szektorban </w:t>
      </w:r>
      <w:r w:rsidRPr="009F3A30">
        <w:t>rejlő, határokon átnyúló ML/</w:t>
      </w:r>
      <w:proofErr w:type="spellStart"/>
      <w:r w:rsidRPr="009F3A30">
        <w:t>TF</w:t>
      </w:r>
      <w:proofErr w:type="spellEnd"/>
      <w:r w:rsidRPr="009F3A30">
        <w:t xml:space="preserve"> kockázatok</w:t>
      </w:r>
    </w:p>
    <w:p w14:paraId="47C5438D" w14:textId="0396757C" w:rsidR="005D18D3" w:rsidRPr="009F3A30" w:rsidRDefault="005D18D3" w:rsidP="005D18D3">
      <w:r w:rsidRPr="009F3A30">
        <w:t xml:space="preserve">A szektorra nem jellemző a külföldi érintettség, tipikusan magyar ügyfelekkel rendelkeznek a szektorhoz tartozó </w:t>
      </w:r>
      <w:r w:rsidR="008C1A55">
        <w:t>szolgáltatók</w:t>
      </w:r>
      <w:r w:rsidRPr="009F3A30">
        <w:t xml:space="preserve">. </w:t>
      </w:r>
      <w:r w:rsidR="00EC6F68" w:rsidRPr="00EC6F68">
        <w:t>Nincsenek határon átnyúló tranzakciók.</w:t>
      </w:r>
    </w:p>
    <w:p w14:paraId="75BD59C7" w14:textId="71C591FB" w:rsidR="005D18D3" w:rsidRPr="009F3A30" w:rsidRDefault="008E13A0" w:rsidP="005D18D3">
      <w:pPr>
        <w:rPr>
          <w:b/>
        </w:rPr>
      </w:pPr>
      <w:r w:rsidRPr="008E13A0">
        <w:rPr>
          <w:b/>
        </w:rPr>
        <w:t>AZ MNB</w:t>
      </w:r>
      <w:r w:rsidR="005D18D3" w:rsidRPr="009F3A30">
        <w:rPr>
          <w:b/>
        </w:rPr>
        <w:t xml:space="preserve"> értékelése alapján, figyelembe véve a fent részletezetteket </w:t>
      </w:r>
      <w:r w:rsidR="00753220" w:rsidRPr="009F3A30">
        <w:rPr>
          <w:b/>
        </w:rPr>
        <w:t xml:space="preserve">foglalkoztatói nyugdíjszolgáltatói szektor </w:t>
      </w:r>
      <w:r w:rsidR="005D18D3" w:rsidRPr="009F3A30">
        <w:rPr>
          <w:b/>
        </w:rPr>
        <w:t>Kevésbé jelentős inherens kockázati értékkel rendelkezik.</w:t>
      </w:r>
    </w:p>
    <w:tbl>
      <w:tblPr>
        <w:tblW w:w="3680" w:type="dxa"/>
        <w:jc w:val="center"/>
        <w:tblCellMar>
          <w:left w:w="70" w:type="dxa"/>
          <w:right w:w="70" w:type="dxa"/>
        </w:tblCellMar>
        <w:tblLook w:val="04A0" w:firstRow="1" w:lastRow="0" w:firstColumn="1" w:lastColumn="0" w:noHBand="0" w:noVBand="1"/>
      </w:tblPr>
      <w:tblGrid>
        <w:gridCol w:w="1780"/>
        <w:gridCol w:w="1900"/>
      </w:tblGrid>
      <w:tr w:rsidR="005D18D3" w:rsidRPr="00A07F4E" w14:paraId="41E37ABE" w14:textId="77777777" w:rsidTr="002078C6">
        <w:trPr>
          <w:trHeight w:val="300"/>
          <w:jc w:val="center"/>
        </w:trPr>
        <w:tc>
          <w:tcPr>
            <w:tcW w:w="1780" w:type="dxa"/>
            <w:tcBorders>
              <w:top w:val="nil"/>
              <w:left w:val="nil"/>
              <w:bottom w:val="nil"/>
              <w:right w:val="nil"/>
            </w:tcBorders>
            <w:shd w:val="clear" w:color="auto" w:fill="auto"/>
            <w:noWrap/>
            <w:vAlign w:val="center"/>
            <w:hideMark/>
          </w:tcPr>
          <w:p w14:paraId="7C2A1429" w14:textId="77777777" w:rsidR="005D18D3" w:rsidRPr="009F3A30" w:rsidRDefault="005D18D3" w:rsidP="002078C6">
            <w:pPr>
              <w:spacing w:after="0" w:line="240" w:lineRule="auto"/>
              <w:jc w:val="center"/>
              <w:rPr>
                <w:b/>
                <w:color w:val="000000"/>
              </w:rPr>
            </w:pPr>
            <w:r w:rsidRPr="009F3A30">
              <w:rPr>
                <w:b/>
                <w:color w:val="000000"/>
              </w:rPr>
              <w:t>Inherens kockázat:</w:t>
            </w:r>
            <w:r w:rsidRPr="009F3A30">
              <w:rPr>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554663F" w14:textId="77777777" w:rsidR="005D18D3" w:rsidRPr="009F3A30" w:rsidRDefault="005D18D3" w:rsidP="002078C6">
            <w:pPr>
              <w:spacing w:after="0" w:line="240" w:lineRule="auto"/>
              <w:jc w:val="center"/>
              <w:rPr>
                <w:color w:val="000000"/>
                <w:sz w:val="18"/>
              </w:rPr>
            </w:pPr>
            <w:r w:rsidRPr="009F3A30">
              <w:rPr>
                <w:color w:val="000000"/>
                <w:sz w:val="18"/>
              </w:rPr>
              <w:t>Kevésbé jelentős</w:t>
            </w:r>
          </w:p>
        </w:tc>
      </w:tr>
    </w:tbl>
    <w:p w14:paraId="4F7F3325" w14:textId="77777777" w:rsidR="005D18D3" w:rsidRPr="00A07F4E" w:rsidRDefault="005D18D3" w:rsidP="00A07F4E">
      <w:pPr>
        <w:pStyle w:val="Cmsor3"/>
        <w:numPr>
          <w:ilvl w:val="0"/>
          <w:numId w:val="168"/>
        </w:numPr>
      </w:pPr>
      <w:bookmarkStart w:id="300" w:name="_Toc109906085"/>
      <w:r w:rsidRPr="00A07F4E">
        <w:t>Az ellenőrzések minősége, felügyeleti tevékenység, azonosított jogsértések</w:t>
      </w:r>
      <w:bookmarkEnd w:id="300"/>
    </w:p>
    <w:p w14:paraId="5DD9ED2E" w14:textId="78A97686" w:rsidR="005D18D3" w:rsidRPr="009F3A30" w:rsidRDefault="005D18D3" w:rsidP="005D18D3">
      <w:r w:rsidRPr="006B6B99">
        <w:t>A</w:t>
      </w:r>
      <w:r w:rsidR="00D17822" w:rsidRPr="006B6B99">
        <w:t>z MNB a</w:t>
      </w:r>
      <w:r w:rsidR="004813F4" w:rsidRPr="006B6B99">
        <w:t xml:space="preserve"> </w:t>
      </w:r>
      <w:r w:rsidR="003473DA" w:rsidRPr="006E4EE8">
        <w:t>foglalkoztatói</w:t>
      </w:r>
      <w:r w:rsidR="003473DA" w:rsidRPr="009F3A30">
        <w:t xml:space="preserve"> nyugdíjszolgáltatói szektor</w:t>
      </w:r>
      <w:r w:rsidRPr="009F3A30">
        <w:t xml:space="preserve"> </w:t>
      </w:r>
      <w:r w:rsidR="00F1659B" w:rsidRPr="009F3A30">
        <w:t xml:space="preserve">általi </w:t>
      </w:r>
      <w:r w:rsidRPr="009F3A30">
        <w:t xml:space="preserve">ellenőrzések megfelelőségét és minőségét tekintve </w:t>
      </w:r>
      <w:r w:rsidR="008C1A55">
        <w:t>a szolgáltatók</w:t>
      </w:r>
      <w:r w:rsidRPr="009F3A30">
        <w:t xml:space="preserve"> egészére kiterjedő, az egyes üzleti kapcsolatokra alkalmazott kockázatértékelést minősíti gyengének. A</w:t>
      </w:r>
      <w:r w:rsidR="00D17822">
        <w:t xml:space="preserve">z </w:t>
      </w:r>
      <w:r w:rsidR="00D17822" w:rsidRPr="00D17822">
        <w:t>MNB</w:t>
      </w:r>
      <w:r w:rsidR="004813F4">
        <w:t xml:space="preserve"> </w:t>
      </w:r>
      <w:r w:rsidRPr="009F3A30">
        <w:t>kockázatot az ügyfelek kockázatértékelésével, a gyanús tranzakciók jelentésével, valamint az oktatással és a tudatossággal kapcsolatban azonosított.</w:t>
      </w:r>
    </w:p>
    <w:p w14:paraId="0C6CD648" w14:textId="1CE770DA" w:rsidR="007E08F9" w:rsidRPr="009F3A30" w:rsidRDefault="005D18D3" w:rsidP="007E08F9">
      <w:r w:rsidRPr="009F3A30">
        <w:t xml:space="preserve">A </w:t>
      </w:r>
      <w:r w:rsidR="003473DA" w:rsidRPr="009F3A30">
        <w:t>foglalkoztatói nyugdíjszolgáltatói</w:t>
      </w:r>
      <w:r w:rsidRPr="009F3A30">
        <w:t xml:space="preserve"> tevékenység</w:t>
      </w:r>
      <w:r w:rsidR="003473DA" w:rsidRPr="009F3A30">
        <w:t>e</w:t>
      </w:r>
      <w:r w:rsidRPr="009F3A30">
        <w:t xml:space="preserve">t jellemzően </w:t>
      </w:r>
      <w:r w:rsidR="00D17822" w:rsidRPr="00D17822">
        <w:t>az MNB</w:t>
      </w:r>
      <w:r w:rsidRPr="009F3A30">
        <w:t xml:space="preserve"> folyamatos felügyelés keretében, illetve </w:t>
      </w:r>
      <w:proofErr w:type="spellStart"/>
      <w:r w:rsidRPr="009F3A30">
        <w:t>off</w:t>
      </w:r>
      <w:proofErr w:type="spellEnd"/>
      <w:r w:rsidRPr="009F3A30">
        <w:t xml:space="preserve">-site </w:t>
      </w:r>
      <w:r w:rsidR="007229F4" w:rsidRPr="009F3A30">
        <w:t xml:space="preserve">jellegű </w:t>
      </w:r>
      <w:r w:rsidR="003315BE" w:rsidRPr="009F3A30">
        <w:t>vizsgálatokkal ellenőrzi</w:t>
      </w:r>
      <w:r w:rsidRPr="009F3A30">
        <w:t xml:space="preserve">. </w:t>
      </w:r>
      <w:r w:rsidR="00981BED" w:rsidRPr="006B6B99">
        <w:t>A</w:t>
      </w:r>
      <w:r w:rsidR="00D17822" w:rsidRPr="006B6B99">
        <w:t>z MNB</w:t>
      </w:r>
      <w:r w:rsidR="00981BED" w:rsidRPr="009F3A30">
        <w:t xml:space="preserve"> f</w:t>
      </w:r>
      <w:r w:rsidRPr="009F3A30">
        <w:t xml:space="preserve">olyamatos felügyelés keretében a </w:t>
      </w:r>
      <w:r w:rsidR="00ED2CA3" w:rsidRPr="009F3A30">
        <w:t>foglalkoztatói nyugdíjszolgáltatói szektort</w:t>
      </w:r>
      <w:r w:rsidRPr="009F3A30">
        <w:t xml:space="preserve"> az általuk </w:t>
      </w:r>
      <w:r w:rsidR="00ED2CA3" w:rsidRPr="009F3A30">
        <w:t xml:space="preserve">az MNB részére </w:t>
      </w:r>
      <w:r w:rsidRPr="009F3A30">
        <w:t xml:space="preserve">szolgáltatott éves és negyedéves adatok, </w:t>
      </w:r>
      <w:r w:rsidR="00ED2CA3" w:rsidRPr="009F3A30">
        <w:t>a foglalkoztatói nyugdíjszolgáltatói szektor</w:t>
      </w:r>
      <w:r w:rsidR="00753220" w:rsidRPr="009F3A30">
        <w:t xml:space="preserve">hoz tartozó </w:t>
      </w:r>
      <w:r w:rsidR="008C1A55">
        <w:t>szolgáltatók</w:t>
      </w:r>
      <w:r w:rsidR="00753220" w:rsidRPr="009F3A30">
        <w:t xml:space="preserve"> </w:t>
      </w:r>
      <w:r w:rsidRPr="009F3A30">
        <w:t xml:space="preserve">ügyfeleitől, </w:t>
      </w:r>
      <w:r w:rsidR="007E08F9" w:rsidRPr="009F3A30">
        <w:t>illetve társhatóságoktól érkező panaszok és sajtófigyelés során szerzett információk alapján felügyeli, felmerülő kockázati jelzés alapján ellenőrzi</w:t>
      </w:r>
      <w:r w:rsidRPr="009F3A30">
        <w:t xml:space="preserve">. </w:t>
      </w:r>
      <w:r w:rsidR="007E08F9" w:rsidRPr="006B6B99">
        <w:t>A</w:t>
      </w:r>
      <w:r w:rsidR="00D17822" w:rsidRPr="006B6B99">
        <w:t>z MNB</w:t>
      </w:r>
      <w:r w:rsidR="007E08F9" w:rsidRPr="006B6B99">
        <w:t>-nek</w:t>
      </w:r>
      <w:r w:rsidR="007E08F9" w:rsidRPr="009F3A30">
        <w:t xml:space="preserve"> a szektort tekintve – a kockázatalapú megközelítésre</w:t>
      </w:r>
      <w:r w:rsidR="001250F4" w:rsidRPr="009F3A30">
        <w:t xml:space="preserve">, illetve </w:t>
      </w:r>
      <w:r w:rsidR="003C1535" w:rsidRPr="009F3A30">
        <w:t>a Kevésbé jelentős inherens kockázatra</w:t>
      </w:r>
      <w:r w:rsidR="007E08F9" w:rsidRPr="009F3A30">
        <w:t xml:space="preserve"> figyelemmel – csekély a rendelkezésre álló felügyeleti tapasztalata.  </w:t>
      </w:r>
    </w:p>
    <w:p w14:paraId="46653018" w14:textId="77777777" w:rsidR="005D18D3" w:rsidRPr="009F3A30" w:rsidRDefault="005D18D3" w:rsidP="005D18D3">
      <w:r w:rsidRPr="009F3A30">
        <w:lastRenderedPageBreak/>
        <w:t xml:space="preserve">Megjegyzendő, hogy a </w:t>
      </w:r>
      <w:r w:rsidR="00ED2CA3" w:rsidRPr="009F3A30">
        <w:t>foglalkoztatói nyugdíjszolgáltatói szektor</w:t>
      </w:r>
      <w:r w:rsidRPr="009F3A30">
        <w:t xml:space="preserve"> gyanús tranzakciókhoz kapcsolódó bejelentéseik száma a többi szektoréhoz viszonyítva alacsonyabb, azonban ez a Kevésbé jelentős inherens kockázati besorolásra tekintettel nem nevezhető szokatlannak, így kockázatot növelő tényezőnek. </w:t>
      </w:r>
    </w:p>
    <w:p w14:paraId="32F2DB71" w14:textId="77777777" w:rsidR="005D18D3" w:rsidRPr="00A07F4E" w:rsidRDefault="005D18D3" w:rsidP="00A07F4E">
      <w:pPr>
        <w:pStyle w:val="Cmsor3"/>
        <w:numPr>
          <w:ilvl w:val="0"/>
          <w:numId w:val="168"/>
        </w:numPr>
      </w:pPr>
      <w:bookmarkStart w:id="301" w:name="_Toc109906086"/>
      <w:r w:rsidRPr="00A07F4E">
        <w:t>Maradványkockázat</w:t>
      </w:r>
      <w:bookmarkEnd w:id="301"/>
    </w:p>
    <w:p w14:paraId="29D945E9" w14:textId="702F696B" w:rsidR="005D18D3" w:rsidRPr="009F3A30" w:rsidRDefault="00981BED" w:rsidP="005D18D3">
      <w:r w:rsidRPr="009F3A30">
        <w:t xml:space="preserve">Ez idáig </w:t>
      </w:r>
      <w:r w:rsidRPr="00D17822">
        <w:t>a</w:t>
      </w:r>
      <w:r w:rsidR="00D17822" w:rsidRPr="00D17822">
        <w:t>z MNB</w:t>
      </w:r>
      <w:r w:rsidRPr="006B6B99">
        <w:t>-nek</w:t>
      </w:r>
      <w:r w:rsidRPr="009F3A30">
        <w:t xml:space="preserve"> olyan kockázatot </w:t>
      </w:r>
      <w:r w:rsidR="00753220" w:rsidRPr="009F3A30">
        <w:t>növelő</w:t>
      </w:r>
      <w:r w:rsidRPr="009F3A30">
        <w:t xml:space="preserve"> tényező nem jutott a tudomására, amely hatással lenne az inherens kockázati tényezőre, annak eltérítését indokolná. </w:t>
      </w:r>
      <w:r w:rsidR="005D18D3" w:rsidRPr="006B6B99">
        <w:t>A</w:t>
      </w:r>
      <w:r w:rsidR="00D17822" w:rsidRPr="006B6B99">
        <w:t>z MNB</w:t>
      </w:r>
      <w:r w:rsidR="004813F4">
        <w:t xml:space="preserve"> </w:t>
      </w:r>
      <w:r w:rsidR="005D18D3" w:rsidRPr="009F3A30">
        <w:t xml:space="preserve">mérlegelve a szektornál részletezetteket a maradványkockázatot Kevésbé jelentősnek értékeli, amely az inherens kockázati besorolással megegyezik.  </w:t>
      </w:r>
    </w:p>
    <w:tbl>
      <w:tblPr>
        <w:tblW w:w="3180" w:type="dxa"/>
        <w:jc w:val="center"/>
        <w:tblCellMar>
          <w:left w:w="70" w:type="dxa"/>
          <w:right w:w="70" w:type="dxa"/>
        </w:tblCellMar>
        <w:tblLook w:val="04A0" w:firstRow="1" w:lastRow="0" w:firstColumn="1" w:lastColumn="0" w:noHBand="0" w:noVBand="1"/>
      </w:tblPr>
      <w:tblGrid>
        <w:gridCol w:w="1698"/>
        <w:gridCol w:w="1520"/>
      </w:tblGrid>
      <w:tr w:rsidR="005D18D3" w:rsidRPr="00A07F4E" w14:paraId="7D76E263" w14:textId="77777777" w:rsidTr="002078C6">
        <w:trPr>
          <w:trHeight w:val="300"/>
          <w:jc w:val="center"/>
        </w:trPr>
        <w:tc>
          <w:tcPr>
            <w:tcW w:w="1660" w:type="dxa"/>
            <w:tcBorders>
              <w:top w:val="nil"/>
              <w:left w:val="nil"/>
              <w:bottom w:val="nil"/>
              <w:right w:val="nil"/>
            </w:tcBorders>
            <w:shd w:val="clear" w:color="auto" w:fill="auto"/>
            <w:noWrap/>
            <w:vAlign w:val="center"/>
            <w:hideMark/>
          </w:tcPr>
          <w:p w14:paraId="0F5BB68B" w14:textId="77777777" w:rsidR="005D18D3" w:rsidRPr="009F3A30" w:rsidRDefault="005D18D3" w:rsidP="002078C6">
            <w:pPr>
              <w:spacing w:after="0" w:line="240" w:lineRule="auto"/>
              <w:jc w:val="center"/>
              <w:rPr>
                <w:b/>
                <w:color w:val="000000"/>
                <w:sz w:val="18"/>
              </w:rPr>
            </w:pPr>
            <w:r w:rsidRPr="009F3A30">
              <w:rPr>
                <w:b/>
                <w:color w:val="000000"/>
                <w:sz w:val="18"/>
              </w:rPr>
              <w:t>Maradványkockázat:</w:t>
            </w: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C769D21" w14:textId="77777777" w:rsidR="005D18D3" w:rsidRPr="009F3A30" w:rsidRDefault="005D18D3" w:rsidP="002078C6">
            <w:pPr>
              <w:spacing w:after="0" w:line="240" w:lineRule="auto"/>
              <w:jc w:val="center"/>
              <w:rPr>
                <w:color w:val="000000"/>
                <w:sz w:val="18"/>
              </w:rPr>
            </w:pPr>
            <w:r w:rsidRPr="009F3A30">
              <w:rPr>
                <w:color w:val="000000"/>
                <w:sz w:val="18"/>
              </w:rPr>
              <w:t>Kevésbé jelentős</w:t>
            </w:r>
          </w:p>
        </w:tc>
      </w:tr>
    </w:tbl>
    <w:p w14:paraId="7937099C" w14:textId="735228E6" w:rsidR="009C5FE6" w:rsidRPr="00A07F4E" w:rsidRDefault="009C5FE6" w:rsidP="000222BD">
      <w:pPr>
        <w:pStyle w:val="Cmsor2"/>
      </w:pPr>
      <w:bookmarkStart w:id="302" w:name="_Toc109906087"/>
      <w:r w:rsidRPr="00A07F4E">
        <w:t>Utalvány</w:t>
      </w:r>
      <w:r w:rsidR="00B610A8">
        <w:t>-</w:t>
      </w:r>
      <w:r w:rsidRPr="00A07F4E">
        <w:t>kibocsátó</w:t>
      </w:r>
      <w:r w:rsidR="00A3667A">
        <w:t>k</w:t>
      </w:r>
      <w:r w:rsidR="00B610A8">
        <w:rPr>
          <w:rStyle w:val="Lbjegyzet-hivatkozs"/>
        </w:rPr>
        <w:footnoteReference w:id="32"/>
      </w:r>
      <w:bookmarkEnd w:id="302"/>
    </w:p>
    <w:p w14:paraId="4F789850" w14:textId="77777777" w:rsidR="009C5FE6" w:rsidRPr="00A07F4E" w:rsidRDefault="009C5FE6" w:rsidP="00A07F4E">
      <w:pPr>
        <w:pStyle w:val="Cmsor3"/>
        <w:numPr>
          <w:ilvl w:val="0"/>
          <w:numId w:val="173"/>
        </w:numPr>
      </w:pPr>
      <w:bookmarkStart w:id="303" w:name="_Toc109906088"/>
      <w:r w:rsidRPr="00A07F4E">
        <w:t>A szektor méretére, tevékenységi körére és összetettségére vonatkozó információk összesített formában</w:t>
      </w:r>
      <w:bookmarkEnd w:id="303"/>
    </w:p>
    <w:p w14:paraId="60780B9A" w14:textId="68C9001F" w:rsidR="009C5FE6" w:rsidRPr="009F3A30" w:rsidRDefault="009C5FE6" w:rsidP="009C5FE6">
      <w:r w:rsidRPr="009F3A30">
        <w:t>A</w:t>
      </w:r>
      <w:r w:rsidR="00EC6F68" w:rsidRPr="00EC6F68">
        <w:t>z MNB</w:t>
      </w:r>
      <w:r w:rsidRPr="009F3A30">
        <w:t xml:space="preserve"> Magyarországon </w:t>
      </w:r>
      <w:proofErr w:type="spellStart"/>
      <w:r w:rsidRPr="009F3A30">
        <w:t>AML</w:t>
      </w:r>
      <w:proofErr w:type="spellEnd"/>
      <w:r w:rsidRPr="009F3A30">
        <w:t>/</w:t>
      </w:r>
      <w:proofErr w:type="spellStart"/>
      <w:r w:rsidRPr="009F3A30">
        <w:t>CFT</w:t>
      </w:r>
      <w:proofErr w:type="spellEnd"/>
      <w:r w:rsidRPr="009F3A30">
        <w:t xml:space="preserve"> felügyeletet </w:t>
      </w:r>
      <w:r w:rsidRPr="00FC37B3">
        <w:t xml:space="preserve">összesen </w:t>
      </w:r>
      <w:r w:rsidR="008817A0" w:rsidRPr="00FC37B3">
        <w:t xml:space="preserve">1 </w:t>
      </w:r>
      <w:r w:rsidR="00807A27" w:rsidRPr="00FC37B3">
        <w:t xml:space="preserve">és </w:t>
      </w:r>
      <w:r w:rsidR="008817A0" w:rsidRPr="00FC37B3">
        <w:t>5</w:t>
      </w:r>
      <w:r w:rsidR="00807A27" w:rsidRPr="00FC37B3">
        <w:t xml:space="preserve"> közötti</w:t>
      </w:r>
      <w:r w:rsidRPr="009F3A30">
        <w:t xml:space="preserve"> </w:t>
      </w:r>
      <w:r w:rsidR="008817A0">
        <w:t xml:space="preserve">számú </w:t>
      </w:r>
      <w:r w:rsidR="00807A27" w:rsidRPr="009F3A30">
        <w:t>utalvány</w:t>
      </w:r>
      <w:r w:rsidR="00B610A8">
        <w:t>-</w:t>
      </w:r>
      <w:r w:rsidR="00807A27" w:rsidRPr="009F3A30">
        <w:t xml:space="preserve">kibocsátó </w:t>
      </w:r>
      <w:r w:rsidRPr="009F3A30">
        <w:t>felett gyakorol</w:t>
      </w:r>
      <w:r w:rsidR="00807A27" w:rsidRPr="009F3A30">
        <w:t xml:space="preserve">. </w:t>
      </w:r>
      <w:r w:rsidR="00B610A8" w:rsidRPr="00B610A8">
        <w:t>A forgatható utalvány</w:t>
      </w:r>
      <w:r w:rsidR="00B610A8">
        <w:rPr>
          <w:rStyle w:val="Lbjegyzet-hivatkozs"/>
        </w:rPr>
        <w:footnoteReference w:id="33"/>
      </w:r>
      <w:r w:rsidR="00B610A8" w:rsidRPr="00B610A8">
        <w:t xml:space="preserve"> alatt értendő minden olyan, az utalvány-kibocsátóval szembeni pénzkövetelést megtestesítő bankjegynek, készpénz-helyettesítő fizetési eszköznek és értékpapírnak nem minősülő, átruházható és többször felhasználható, papír alapú fizetési eszköz, amely áruk vagy szolgáltatások ellenértékének a kiegyenlítésére szolgál. A forgatható utalvány kibocsátására irányuló tevékenység során az utalvány-kibocsátó közvetlenül vagy utalványforgalmazó útján pénzeszköz ellenében forgatható utalványt bocsát az utalványbirtokos rendelkezésére.</w:t>
      </w:r>
    </w:p>
    <w:p w14:paraId="569599DC" w14:textId="77777777" w:rsidR="009C5FE6" w:rsidRPr="00A07F4E" w:rsidRDefault="009C5FE6" w:rsidP="00A07F4E">
      <w:pPr>
        <w:pStyle w:val="Cmsor3"/>
        <w:numPr>
          <w:ilvl w:val="0"/>
          <w:numId w:val="173"/>
        </w:numPr>
      </w:pPr>
      <w:bookmarkStart w:id="304" w:name="_Toc106192478"/>
      <w:bookmarkStart w:id="305" w:name="_Toc106198074"/>
      <w:bookmarkStart w:id="306" w:name="_Toc106198720"/>
      <w:bookmarkStart w:id="307" w:name="_Toc106869658"/>
      <w:bookmarkStart w:id="308" w:name="_Toc107236523"/>
      <w:bookmarkStart w:id="309" w:name="_Toc107237431"/>
      <w:bookmarkStart w:id="310" w:name="_Toc107237761"/>
      <w:bookmarkStart w:id="311" w:name="_Toc109906089"/>
      <w:bookmarkEnd w:id="304"/>
      <w:bookmarkEnd w:id="305"/>
      <w:bookmarkEnd w:id="306"/>
      <w:bookmarkEnd w:id="307"/>
      <w:bookmarkEnd w:id="308"/>
      <w:bookmarkEnd w:id="309"/>
      <w:bookmarkEnd w:id="310"/>
      <w:r w:rsidRPr="00A07F4E">
        <w:t>Inherens kockázatértékelés</w:t>
      </w:r>
      <w:bookmarkEnd w:id="311"/>
    </w:p>
    <w:p w14:paraId="0F713545" w14:textId="77777777" w:rsidR="009C5FE6" w:rsidRPr="009F3A30" w:rsidRDefault="009E35BB" w:rsidP="00A07F4E">
      <w:pPr>
        <w:pStyle w:val="Listaszerbekezds"/>
        <w:numPr>
          <w:ilvl w:val="1"/>
          <w:numId w:val="38"/>
        </w:numPr>
        <w:ind w:left="851" w:hanging="284"/>
      </w:pPr>
      <w:r w:rsidRPr="009F3A30">
        <w:t>Az utalványkibocsátói</w:t>
      </w:r>
      <w:r w:rsidR="009C5FE6" w:rsidRPr="009F3A30">
        <w:t xml:space="preserve"> szektorban rejlő ML/</w:t>
      </w:r>
      <w:proofErr w:type="spellStart"/>
      <w:r w:rsidR="009C5FE6" w:rsidRPr="009F3A30">
        <w:t>TF</w:t>
      </w:r>
      <w:proofErr w:type="spellEnd"/>
      <w:r w:rsidR="009C5FE6" w:rsidRPr="009F3A30">
        <w:t xml:space="preserve"> kockázati tényezők</w:t>
      </w:r>
    </w:p>
    <w:p w14:paraId="48CAE385" w14:textId="6AAAF93B" w:rsidR="0097262E" w:rsidRDefault="009C5FE6" w:rsidP="009C5FE6">
      <w:r w:rsidRPr="006E4EE8">
        <w:t>A</w:t>
      </w:r>
      <w:r w:rsidR="00EC6F68" w:rsidRPr="006E4EE8">
        <w:t>z MNB</w:t>
      </w:r>
      <w:r w:rsidRPr="006E4EE8">
        <w:t xml:space="preserve"> az értékesítési csatornákban megjelenő kockázatot Mérsékelten jelentősnek, a földrajzi kitettségben, az ügyfelekben, termékekben/szolgáltatásokban rejlő kockázatokat pedig Kevésbé jelentősnek mi</w:t>
      </w:r>
      <w:r w:rsidR="00135F34" w:rsidRPr="006E4EE8">
        <w:t>n</w:t>
      </w:r>
      <w:r w:rsidRPr="006E4EE8">
        <w:t>ősítette.</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EC6F68" w:rsidRPr="003168BA" w14:paraId="04CCBB21" w14:textId="77777777" w:rsidTr="00300DCA">
        <w:trPr>
          <w:trHeight w:val="314"/>
        </w:trPr>
        <w:tc>
          <w:tcPr>
            <w:tcW w:w="3061" w:type="dxa"/>
          </w:tcPr>
          <w:p w14:paraId="4EC51B4A" w14:textId="77777777" w:rsidR="00EC6F68" w:rsidRPr="00554E41" w:rsidRDefault="00EC6F68"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7AB4CA95" w14:textId="77777777" w:rsidR="00EC6F68" w:rsidRPr="00554E41" w:rsidRDefault="00EC6F68"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EC6F68" w:rsidRPr="003168BA" w14:paraId="6208AA20" w14:textId="77777777" w:rsidTr="000222BD">
        <w:tc>
          <w:tcPr>
            <w:tcW w:w="3061" w:type="dxa"/>
            <w:shd w:val="clear" w:color="auto" w:fill="auto"/>
          </w:tcPr>
          <w:p w14:paraId="3D33A459" w14:textId="77777777" w:rsidR="00EC6F68" w:rsidRPr="00554E41" w:rsidRDefault="00EC6F68"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92D050"/>
          </w:tcPr>
          <w:p w14:paraId="0134CF7D" w14:textId="77777777" w:rsidR="00EC6F68" w:rsidRPr="00554E41" w:rsidRDefault="00EC6F68"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EC6F68" w14:paraId="7D6CFF8D" w14:textId="77777777" w:rsidTr="000222BD">
        <w:tc>
          <w:tcPr>
            <w:tcW w:w="3061" w:type="dxa"/>
            <w:shd w:val="clear" w:color="auto" w:fill="auto"/>
          </w:tcPr>
          <w:p w14:paraId="017384EB" w14:textId="77777777" w:rsidR="00EC6F68" w:rsidRPr="00554E41" w:rsidRDefault="00EC6F68"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92D050"/>
          </w:tcPr>
          <w:p w14:paraId="47BECA8B" w14:textId="77777777" w:rsidR="00EC6F68" w:rsidRPr="00554E41" w:rsidRDefault="00EC6F68"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EC6F68" w14:paraId="0245B902" w14:textId="77777777" w:rsidTr="000222BD">
        <w:trPr>
          <w:trHeight w:val="50"/>
        </w:trPr>
        <w:tc>
          <w:tcPr>
            <w:tcW w:w="3061" w:type="dxa"/>
            <w:shd w:val="clear" w:color="auto" w:fill="auto"/>
          </w:tcPr>
          <w:p w14:paraId="5994AD59" w14:textId="77777777" w:rsidR="00EC6F68" w:rsidRPr="00554E41" w:rsidRDefault="00EC6F68"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Földrajzi</w:t>
            </w:r>
          </w:p>
        </w:tc>
        <w:tc>
          <w:tcPr>
            <w:tcW w:w="3035" w:type="dxa"/>
            <w:shd w:val="clear" w:color="auto" w:fill="92D050"/>
          </w:tcPr>
          <w:p w14:paraId="37CB032D" w14:textId="77777777" w:rsidR="00EC6F68" w:rsidRPr="00554E41" w:rsidRDefault="00EC6F68"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EC6F68" w14:paraId="2704491B" w14:textId="77777777" w:rsidTr="000222BD">
        <w:tc>
          <w:tcPr>
            <w:tcW w:w="3061" w:type="dxa"/>
            <w:shd w:val="clear" w:color="auto" w:fill="auto"/>
          </w:tcPr>
          <w:p w14:paraId="47D7252B" w14:textId="77777777" w:rsidR="00EC6F68" w:rsidRPr="00554E41" w:rsidRDefault="00EC6F68"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FFFF00"/>
          </w:tcPr>
          <w:p w14:paraId="23B9B93E" w14:textId="77777777" w:rsidR="00EC6F68" w:rsidRPr="00554E41" w:rsidRDefault="00EC6F68"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bl>
    <w:p w14:paraId="1C284EDF" w14:textId="63570775" w:rsidR="009C5FE6" w:rsidRPr="009F3A30" w:rsidRDefault="009C5FE6" w:rsidP="00C63813">
      <w:pPr>
        <w:spacing w:before="120"/>
      </w:pPr>
      <w:r w:rsidRPr="009F3A30">
        <w:t xml:space="preserve">A szektort tekintve, annak szereplői szabályalapú </w:t>
      </w:r>
      <w:r w:rsidR="006B5CD8">
        <w:t>folyamatokat követnek</w:t>
      </w:r>
      <w:r w:rsidRPr="009F3A30">
        <w:t xml:space="preserve"> az </w:t>
      </w:r>
      <w:proofErr w:type="spellStart"/>
      <w:r w:rsidRPr="009F3A30">
        <w:t>AML</w:t>
      </w:r>
      <w:proofErr w:type="spellEnd"/>
      <w:r w:rsidRPr="009F3A30">
        <w:t>/</w:t>
      </w:r>
      <w:proofErr w:type="spellStart"/>
      <w:r w:rsidRPr="009F3A30">
        <w:t>CFT</w:t>
      </w:r>
      <w:proofErr w:type="spellEnd"/>
      <w:r w:rsidRPr="009F3A30">
        <w:t xml:space="preserve"> </w:t>
      </w:r>
      <w:r w:rsidR="004813F4">
        <w:t>gyakorlatukban</w:t>
      </w:r>
      <w:r w:rsidRPr="009F3A30">
        <w:t>,</w:t>
      </w:r>
      <w:r w:rsidR="006B5CD8">
        <w:t xml:space="preserve"> holott az MNB elvárása</w:t>
      </w:r>
      <w:r w:rsidRPr="009F3A30">
        <w:t xml:space="preserve"> a kockázatalapú megközelítés </w:t>
      </w:r>
      <w:r w:rsidR="006B5CD8">
        <w:t>megfelelő végrehajtása</w:t>
      </w:r>
      <w:r w:rsidRPr="009F3A30">
        <w:t xml:space="preserve">. </w:t>
      </w:r>
    </w:p>
    <w:p w14:paraId="62D1CE1B" w14:textId="64489AB5" w:rsidR="009C5FE6" w:rsidRPr="009F3A30" w:rsidRDefault="00135F34" w:rsidP="009C5FE6">
      <w:r w:rsidRPr="009F3A30">
        <w:t>A</w:t>
      </w:r>
      <w:r w:rsidR="009C5FE6" w:rsidRPr="009F3A30">
        <w:t xml:space="preserve"> szektor </w:t>
      </w:r>
      <w:r w:rsidRPr="009F3A30">
        <w:t xml:space="preserve">szereplői </w:t>
      </w:r>
      <w:r w:rsidR="009C5FE6" w:rsidRPr="009F3A30">
        <w:t>csak más szektorok közreműködésével tud jelentős összegű ügyleteket lebonyolítani, amelyeket a</w:t>
      </w:r>
      <w:r w:rsidR="006B5CD8">
        <w:t xml:space="preserve">z </w:t>
      </w:r>
      <w:r w:rsidR="006B5CD8" w:rsidRPr="006B5CD8">
        <w:t>MNB</w:t>
      </w:r>
      <w:r w:rsidR="009C5FE6" w:rsidRPr="009F3A30">
        <w:t xml:space="preserve"> kockázatcsökkentő tényezőként értékelt. </w:t>
      </w:r>
    </w:p>
    <w:p w14:paraId="25DCCF81" w14:textId="77777777" w:rsidR="009C5FE6" w:rsidRPr="009F3A30" w:rsidRDefault="009C5FE6" w:rsidP="00A07F4E">
      <w:pPr>
        <w:pStyle w:val="Listaszerbekezds"/>
        <w:numPr>
          <w:ilvl w:val="1"/>
          <w:numId w:val="38"/>
        </w:numPr>
        <w:ind w:left="851" w:hanging="284"/>
      </w:pPr>
      <w:r w:rsidRPr="009F3A30">
        <w:t>A foglalkoztatói nyugdíjszolgáltatói szektorban rejlő, határokon átnyúló ML/</w:t>
      </w:r>
      <w:proofErr w:type="spellStart"/>
      <w:r w:rsidRPr="009F3A30">
        <w:t>TF</w:t>
      </w:r>
      <w:proofErr w:type="spellEnd"/>
      <w:r w:rsidRPr="009F3A30">
        <w:t xml:space="preserve"> kockázatok</w:t>
      </w:r>
    </w:p>
    <w:p w14:paraId="23115EB5" w14:textId="77777777" w:rsidR="009C5FE6" w:rsidRPr="009F3A30" w:rsidRDefault="009C5FE6" w:rsidP="009C5FE6">
      <w:r w:rsidRPr="009F3A30">
        <w:t xml:space="preserve">A szektorra nem jellemző a külföldi érintettség, tipikusan magyar ügyfelekkel rendelkeznek a szektorhoz tartozó </w:t>
      </w:r>
      <w:r w:rsidR="008C1A55">
        <w:t>szolgáltatók</w:t>
      </w:r>
      <w:r w:rsidRPr="009F3A30">
        <w:t xml:space="preserve">. </w:t>
      </w:r>
    </w:p>
    <w:p w14:paraId="6C6B0D3C" w14:textId="4827A915" w:rsidR="009C5FE6" w:rsidRPr="009F3A30" w:rsidRDefault="009C5FE6" w:rsidP="009C5FE6">
      <w:pPr>
        <w:rPr>
          <w:b/>
        </w:rPr>
      </w:pPr>
      <w:r w:rsidRPr="009F3A30">
        <w:rPr>
          <w:b/>
        </w:rPr>
        <w:t>A</w:t>
      </w:r>
      <w:r w:rsidR="006B5CD8">
        <w:rPr>
          <w:b/>
        </w:rPr>
        <w:t xml:space="preserve">z </w:t>
      </w:r>
      <w:r w:rsidR="006B5CD8" w:rsidRPr="006B5CD8">
        <w:rPr>
          <w:b/>
        </w:rPr>
        <w:t>MNB</w:t>
      </w:r>
      <w:r w:rsidR="00A3667A">
        <w:rPr>
          <w:b/>
        </w:rPr>
        <w:t xml:space="preserve"> </w:t>
      </w:r>
      <w:r w:rsidRPr="009F3A30">
        <w:rPr>
          <w:b/>
        </w:rPr>
        <w:t xml:space="preserve">értékelése alapján, figyelembe véve a fent részletezetteket </w:t>
      </w:r>
      <w:r w:rsidR="00753220" w:rsidRPr="009F3A30">
        <w:rPr>
          <w:b/>
        </w:rPr>
        <w:t>az utalványkibocsátói</w:t>
      </w:r>
      <w:r w:rsidRPr="009F3A30">
        <w:rPr>
          <w:b/>
        </w:rPr>
        <w:t xml:space="preserve"> szektor Kevésbé jelentős inherens kockázati értékkel rendelkezik.</w:t>
      </w:r>
    </w:p>
    <w:tbl>
      <w:tblPr>
        <w:tblW w:w="3680" w:type="dxa"/>
        <w:jc w:val="center"/>
        <w:tblCellMar>
          <w:left w:w="70" w:type="dxa"/>
          <w:right w:w="70" w:type="dxa"/>
        </w:tblCellMar>
        <w:tblLook w:val="04A0" w:firstRow="1" w:lastRow="0" w:firstColumn="1" w:lastColumn="0" w:noHBand="0" w:noVBand="1"/>
      </w:tblPr>
      <w:tblGrid>
        <w:gridCol w:w="1780"/>
        <w:gridCol w:w="1900"/>
      </w:tblGrid>
      <w:tr w:rsidR="009C5FE6" w:rsidRPr="00A07F4E" w14:paraId="2735B7C3" w14:textId="77777777" w:rsidTr="002078C6">
        <w:trPr>
          <w:trHeight w:val="300"/>
          <w:jc w:val="center"/>
        </w:trPr>
        <w:tc>
          <w:tcPr>
            <w:tcW w:w="1780" w:type="dxa"/>
            <w:tcBorders>
              <w:top w:val="nil"/>
              <w:left w:val="nil"/>
              <w:bottom w:val="nil"/>
              <w:right w:val="nil"/>
            </w:tcBorders>
            <w:shd w:val="clear" w:color="auto" w:fill="auto"/>
            <w:noWrap/>
            <w:vAlign w:val="center"/>
            <w:hideMark/>
          </w:tcPr>
          <w:p w14:paraId="61E79B93" w14:textId="77777777" w:rsidR="009C5FE6" w:rsidRPr="009F3A30" w:rsidRDefault="009C5FE6" w:rsidP="002078C6">
            <w:pPr>
              <w:spacing w:after="0" w:line="240" w:lineRule="auto"/>
              <w:jc w:val="center"/>
              <w:rPr>
                <w:b/>
                <w:color w:val="000000"/>
              </w:rPr>
            </w:pPr>
            <w:r w:rsidRPr="009F3A30">
              <w:rPr>
                <w:b/>
                <w:color w:val="000000"/>
              </w:rPr>
              <w:t>Inherens kockázat:</w:t>
            </w:r>
            <w:r w:rsidRPr="009F3A30">
              <w:rPr>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D483C15" w14:textId="77777777" w:rsidR="009C5FE6" w:rsidRPr="009F3A30" w:rsidRDefault="009C5FE6" w:rsidP="002078C6">
            <w:pPr>
              <w:spacing w:after="0" w:line="240" w:lineRule="auto"/>
              <w:jc w:val="center"/>
              <w:rPr>
                <w:color w:val="000000"/>
                <w:sz w:val="18"/>
              </w:rPr>
            </w:pPr>
            <w:r w:rsidRPr="009F3A30">
              <w:rPr>
                <w:color w:val="000000"/>
                <w:sz w:val="18"/>
              </w:rPr>
              <w:t>Kevésbé jelentős</w:t>
            </w:r>
          </w:p>
        </w:tc>
      </w:tr>
    </w:tbl>
    <w:p w14:paraId="52D78E47" w14:textId="77777777" w:rsidR="009C5FE6" w:rsidRPr="009F3A30" w:rsidRDefault="009C5FE6" w:rsidP="009C5FE6"/>
    <w:p w14:paraId="327A1CD9" w14:textId="77777777" w:rsidR="009C5FE6" w:rsidRPr="00A07F4E" w:rsidRDefault="009C5FE6" w:rsidP="00A07F4E">
      <w:pPr>
        <w:pStyle w:val="Cmsor3"/>
        <w:numPr>
          <w:ilvl w:val="0"/>
          <w:numId w:val="173"/>
        </w:numPr>
      </w:pPr>
      <w:bookmarkStart w:id="312" w:name="_Toc109906090"/>
      <w:r w:rsidRPr="00A07F4E">
        <w:t>Az ellenőrzések minősége, felügyeleti tevékenység, azonosított jogsértések</w:t>
      </w:r>
      <w:bookmarkEnd w:id="312"/>
    </w:p>
    <w:p w14:paraId="11B18F9F" w14:textId="546F2FC0" w:rsidR="009C5FE6" w:rsidRPr="009F3A30" w:rsidRDefault="009C5FE6" w:rsidP="009C5FE6">
      <w:r w:rsidRPr="009F3A30">
        <w:t>A</w:t>
      </w:r>
      <w:r w:rsidR="00837E92">
        <w:t>z MNB</w:t>
      </w:r>
      <w:r w:rsidR="004813F4">
        <w:t xml:space="preserve"> </w:t>
      </w:r>
      <w:r w:rsidR="00135F34" w:rsidRPr="009F3A30">
        <w:t>az utalvány</w:t>
      </w:r>
      <w:r w:rsidR="00837E92">
        <w:t>-</w:t>
      </w:r>
      <w:r w:rsidR="00135F34" w:rsidRPr="009F3A30">
        <w:t>kibocsátói</w:t>
      </w:r>
      <w:r w:rsidRPr="009F3A30">
        <w:t xml:space="preserve"> szektor </w:t>
      </w:r>
      <w:r w:rsidR="00F1659B" w:rsidRPr="009F3A30">
        <w:t xml:space="preserve">általi </w:t>
      </w:r>
      <w:r w:rsidRPr="009F3A30">
        <w:t xml:space="preserve">ellenőrzések megfelelőségét és minőségét tekintve </w:t>
      </w:r>
      <w:r w:rsidR="008C1A55">
        <w:t>a szolgáltatók</w:t>
      </w:r>
      <w:r w:rsidRPr="009F3A30">
        <w:t xml:space="preserve"> egészére kiterjedő, az egyes üzleti kapcsolatokra alkalmazott kockázatértékelést minősíti gyengének. A</w:t>
      </w:r>
      <w:r w:rsidR="00837E92">
        <w:t>z MNB a</w:t>
      </w:r>
      <w:r w:rsidRPr="009F3A30">
        <w:t xml:space="preserve"> kockázatot az ügyfelek kockázatértékelésével, a gyanús tranzakciók </w:t>
      </w:r>
      <w:r w:rsidR="0074184B">
        <w:t xml:space="preserve">a </w:t>
      </w:r>
      <w:proofErr w:type="spellStart"/>
      <w:r w:rsidR="00F36742">
        <w:t>NAV</w:t>
      </w:r>
      <w:proofErr w:type="spellEnd"/>
      <w:r w:rsidR="00F36742">
        <w:t xml:space="preserve"> </w:t>
      </w:r>
      <w:proofErr w:type="spellStart"/>
      <w:r w:rsidR="00F36742">
        <w:t>PEI-nek</w:t>
      </w:r>
      <w:proofErr w:type="spellEnd"/>
      <w:r w:rsidR="00F36742">
        <w:t xml:space="preserve"> történő be</w:t>
      </w:r>
      <w:r w:rsidRPr="009F3A30">
        <w:t>jelentésével, valamint az oktatással és a tudatossággal kapcsolatban azonosított.</w:t>
      </w:r>
    </w:p>
    <w:p w14:paraId="63DF719E" w14:textId="2BC9D294" w:rsidR="00F72740" w:rsidRPr="009F3A30" w:rsidRDefault="009C5FE6" w:rsidP="00F72740">
      <w:r w:rsidRPr="009F3A30">
        <w:t>A</w:t>
      </w:r>
      <w:r w:rsidR="00135F34" w:rsidRPr="009F3A30">
        <w:t>z</w:t>
      </w:r>
      <w:r w:rsidRPr="009F3A30">
        <w:t xml:space="preserve"> </w:t>
      </w:r>
      <w:r w:rsidR="00135F34" w:rsidRPr="009F3A30">
        <w:t>utalvány</w:t>
      </w:r>
      <w:r w:rsidR="00E25797">
        <w:t>-</w:t>
      </w:r>
      <w:r w:rsidR="00135F34" w:rsidRPr="009F3A30">
        <w:t>kiboc</w:t>
      </w:r>
      <w:r w:rsidR="00135F34" w:rsidRPr="00E25797">
        <w:t>sátói</w:t>
      </w:r>
      <w:r w:rsidR="00135F34" w:rsidRPr="009F3A30">
        <w:t xml:space="preserve"> </w:t>
      </w:r>
      <w:r w:rsidRPr="009F3A30">
        <w:t xml:space="preserve">tevékenységet jellemzően </w:t>
      </w:r>
      <w:r w:rsidR="00E25797" w:rsidRPr="00E25797">
        <w:t>az MNB</w:t>
      </w:r>
      <w:r w:rsidRPr="009F3A30">
        <w:t xml:space="preserve"> folyamatos felügyelés keretében, illetve </w:t>
      </w:r>
      <w:proofErr w:type="spellStart"/>
      <w:r w:rsidRPr="009F3A30">
        <w:t>off</w:t>
      </w:r>
      <w:proofErr w:type="spellEnd"/>
      <w:r w:rsidRPr="009F3A30">
        <w:t xml:space="preserve">-site jellegű vizsgálatokkal ellenőrzi. </w:t>
      </w:r>
      <w:r w:rsidR="00135F34" w:rsidRPr="009F3A30">
        <w:t>A</w:t>
      </w:r>
      <w:r w:rsidR="00E25797" w:rsidRPr="00E25797">
        <w:t>z MNB</w:t>
      </w:r>
      <w:r w:rsidR="00135F34" w:rsidRPr="000222BD">
        <w:t xml:space="preserve"> a</w:t>
      </w:r>
      <w:r w:rsidR="00135F34" w:rsidRPr="009F3A30">
        <w:t>z</w:t>
      </w:r>
      <w:r w:rsidRPr="009F3A30">
        <w:t xml:space="preserve"> </w:t>
      </w:r>
      <w:r w:rsidR="00135F34" w:rsidRPr="00E25797">
        <w:t>utalvány</w:t>
      </w:r>
      <w:r w:rsidR="00E25797" w:rsidRPr="00E25797">
        <w:t>-</w:t>
      </w:r>
      <w:r w:rsidR="00135F34" w:rsidRPr="00E25797">
        <w:t>kibocsátói</w:t>
      </w:r>
      <w:r w:rsidR="00135F34" w:rsidRPr="009F3A30">
        <w:t xml:space="preserve"> </w:t>
      </w:r>
      <w:r w:rsidRPr="009F3A30">
        <w:t xml:space="preserve">szektort </w:t>
      </w:r>
      <w:r w:rsidR="00135F34" w:rsidRPr="009F3A30">
        <w:t>a</w:t>
      </w:r>
      <w:r w:rsidRPr="009F3A30">
        <w:t xml:space="preserve"> szektor</w:t>
      </w:r>
      <w:r w:rsidR="001862F3" w:rsidRPr="009F3A30">
        <w:t xml:space="preserve">hoz tartozó szolgáltatók </w:t>
      </w:r>
      <w:r w:rsidRPr="009F3A30">
        <w:t xml:space="preserve">ügyfeleitől, </w:t>
      </w:r>
      <w:r w:rsidR="00F72740" w:rsidRPr="009F3A30">
        <w:t xml:space="preserve">illetve társhatóságoktól érkező panaszok és sajtófigyelés során szerzett információk alapján felügyeli, felmerülő kockázati jelzés alapján ellenőrzi. A </w:t>
      </w:r>
      <w:r w:rsidR="00E25797" w:rsidRPr="000222BD">
        <w:t>MNB</w:t>
      </w:r>
      <w:r w:rsidR="00F72740" w:rsidRPr="000222BD">
        <w:t>-nek</w:t>
      </w:r>
      <w:r w:rsidR="00F72740" w:rsidRPr="009F3A30">
        <w:t xml:space="preserve"> a szektort tekintve – a kockázatalapú megközelítésre, illetve a Kevésbé jelentős inherens kockázatra figyelemmel – csekély a rendelkezésre álló felügyeleti tapasztalata.  </w:t>
      </w:r>
    </w:p>
    <w:p w14:paraId="0E16B6B5" w14:textId="16F4B550" w:rsidR="009C5FE6" w:rsidRPr="009F3A30" w:rsidRDefault="009C5FE6" w:rsidP="009C5FE6">
      <w:r w:rsidRPr="009F3A30">
        <w:t xml:space="preserve">Megjegyzendő, hogy </w:t>
      </w:r>
      <w:r w:rsidR="002D416B" w:rsidRPr="009F3A30">
        <w:t>az utalvány</w:t>
      </w:r>
      <w:r w:rsidR="00E25797">
        <w:t>-</w:t>
      </w:r>
      <w:r w:rsidR="002D416B" w:rsidRPr="009F3A30">
        <w:t xml:space="preserve">kibocsátói </w:t>
      </w:r>
      <w:r w:rsidRPr="009F3A30">
        <w:t xml:space="preserve">szektor gyanús tranzakciókhoz kapcsolódó bejelentéseik száma a többi szektoréhoz viszonyítva alacsonyabb, azonban ez a Kevésbé jelentős inherens kockázati besorolásra tekintettel nem nevezhető szokatlannak, így kockázatot növelő tényezőnek. </w:t>
      </w:r>
    </w:p>
    <w:p w14:paraId="186BFE58" w14:textId="37C98B9B" w:rsidR="009C5FE6" w:rsidRPr="009F3A30" w:rsidRDefault="009C5FE6" w:rsidP="009C5FE6">
      <w:r w:rsidRPr="009F3A30">
        <w:t>Ez idáig a</w:t>
      </w:r>
      <w:r w:rsidR="00E25797" w:rsidRPr="000222BD">
        <w:t>z MNB</w:t>
      </w:r>
      <w:r w:rsidRPr="000222BD">
        <w:t>-nek</w:t>
      </w:r>
      <w:r w:rsidRPr="009F3A30">
        <w:t xml:space="preserve"> olyan kockázatot növelő tényező nem jutott a tudomására, amely hatással lenne az inherens kockázati tényezőre, annak eltérítését indokolná. </w:t>
      </w:r>
    </w:p>
    <w:p w14:paraId="02093F7A" w14:textId="77777777" w:rsidR="009C5FE6" w:rsidRPr="00A07F4E" w:rsidRDefault="009C5FE6" w:rsidP="00A07F4E">
      <w:pPr>
        <w:pStyle w:val="Cmsor3"/>
        <w:numPr>
          <w:ilvl w:val="0"/>
          <w:numId w:val="173"/>
        </w:numPr>
      </w:pPr>
      <w:bookmarkStart w:id="313" w:name="_Toc109906091"/>
      <w:r w:rsidRPr="00A07F4E">
        <w:t>Maradványkockázat</w:t>
      </w:r>
      <w:bookmarkEnd w:id="313"/>
    </w:p>
    <w:p w14:paraId="37D4E611" w14:textId="65225360" w:rsidR="009C5FE6" w:rsidRPr="009F3A30" w:rsidRDefault="00F72740" w:rsidP="009C5FE6">
      <w:r w:rsidRPr="009F3A30">
        <w:t xml:space="preserve">Ez idáig </w:t>
      </w:r>
      <w:r w:rsidRPr="00E25797">
        <w:t>a</w:t>
      </w:r>
      <w:r w:rsidR="00E25797" w:rsidRPr="00E25797">
        <w:t>z MNB</w:t>
      </w:r>
      <w:r w:rsidRPr="000222BD">
        <w:t>-nek</w:t>
      </w:r>
      <w:r w:rsidRPr="009F3A30">
        <w:t xml:space="preserve"> olyan kockázatot növelő tényező nem jutott a tudomására, amely hatással lenne az inherens kockázati tényezőre, annak eltérítését indokolná. </w:t>
      </w:r>
      <w:r w:rsidR="009C5FE6" w:rsidRPr="009F3A30">
        <w:t>A</w:t>
      </w:r>
      <w:r w:rsidR="00E25797">
        <w:t>z MNB</w:t>
      </w:r>
      <w:r w:rsidR="009C5FE6" w:rsidRPr="009F3A30">
        <w:t xml:space="preserve"> mérlegelve a szektornál részletezetteket a maradványkockázatot Kevésbé jelentősnek értékeli, amely az inherens kockázati besorolással megegyezik.  </w:t>
      </w:r>
    </w:p>
    <w:tbl>
      <w:tblPr>
        <w:tblW w:w="3180" w:type="dxa"/>
        <w:jc w:val="center"/>
        <w:tblCellMar>
          <w:left w:w="70" w:type="dxa"/>
          <w:right w:w="70" w:type="dxa"/>
        </w:tblCellMar>
        <w:tblLook w:val="04A0" w:firstRow="1" w:lastRow="0" w:firstColumn="1" w:lastColumn="0" w:noHBand="0" w:noVBand="1"/>
      </w:tblPr>
      <w:tblGrid>
        <w:gridCol w:w="1698"/>
        <w:gridCol w:w="1520"/>
      </w:tblGrid>
      <w:tr w:rsidR="009C5FE6" w:rsidRPr="00A07F4E" w14:paraId="30E5D1A0" w14:textId="77777777" w:rsidTr="002078C6">
        <w:trPr>
          <w:trHeight w:val="300"/>
          <w:jc w:val="center"/>
        </w:trPr>
        <w:tc>
          <w:tcPr>
            <w:tcW w:w="1660" w:type="dxa"/>
            <w:tcBorders>
              <w:top w:val="nil"/>
              <w:left w:val="nil"/>
              <w:bottom w:val="nil"/>
              <w:right w:val="nil"/>
            </w:tcBorders>
            <w:shd w:val="clear" w:color="auto" w:fill="auto"/>
            <w:noWrap/>
            <w:vAlign w:val="center"/>
            <w:hideMark/>
          </w:tcPr>
          <w:p w14:paraId="7D8ADD3C" w14:textId="77777777" w:rsidR="009C5FE6" w:rsidRPr="009F3A30" w:rsidRDefault="009C5FE6" w:rsidP="002078C6">
            <w:pPr>
              <w:spacing w:after="0" w:line="240" w:lineRule="auto"/>
              <w:jc w:val="center"/>
              <w:rPr>
                <w:b/>
                <w:color w:val="000000"/>
                <w:sz w:val="18"/>
              </w:rPr>
            </w:pPr>
            <w:r w:rsidRPr="009F3A30">
              <w:rPr>
                <w:b/>
                <w:color w:val="000000"/>
                <w:sz w:val="18"/>
              </w:rPr>
              <w:t>Maradványkockázat:</w:t>
            </w: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564D71" w14:textId="77777777" w:rsidR="009C5FE6" w:rsidRPr="009F3A30" w:rsidRDefault="009C5FE6" w:rsidP="002078C6">
            <w:pPr>
              <w:spacing w:after="0" w:line="240" w:lineRule="auto"/>
              <w:jc w:val="center"/>
              <w:rPr>
                <w:color w:val="000000"/>
                <w:sz w:val="18"/>
              </w:rPr>
            </w:pPr>
            <w:r w:rsidRPr="009F3A30">
              <w:rPr>
                <w:color w:val="000000"/>
                <w:sz w:val="18"/>
              </w:rPr>
              <w:t>Kevésbé jelentős</w:t>
            </w:r>
          </w:p>
        </w:tc>
      </w:tr>
    </w:tbl>
    <w:p w14:paraId="6D3DF9ED" w14:textId="2D65DF0F" w:rsidR="00903043" w:rsidRPr="00A07F4E" w:rsidRDefault="00903043" w:rsidP="000222BD">
      <w:pPr>
        <w:pStyle w:val="Cmsor2"/>
      </w:pPr>
      <w:bookmarkStart w:id="314" w:name="_Toc109906092"/>
      <w:r w:rsidRPr="00A07F4E">
        <w:t>Piacműködtetők</w:t>
      </w:r>
      <w:r w:rsidR="00E25797">
        <w:rPr>
          <w:rStyle w:val="Lbjegyzet-hivatkozs"/>
        </w:rPr>
        <w:footnoteReference w:id="34"/>
      </w:r>
      <w:bookmarkEnd w:id="314"/>
    </w:p>
    <w:p w14:paraId="7DA9EFB5" w14:textId="77777777" w:rsidR="00903043" w:rsidRPr="00A07F4E" w:rsidRDefault="00903043" w:rsidP="00A07F4E">
      <w:pPr>
        <w:pStyle w:val="Cmsor3"/>
        <w:numPr>
          <w:ilvl w:val="0"/>
          <w:numId w:val="177"/>
        </w:numPr>
      </w:pPr>
      <w:bookmarkStart w:id="315" w:name="_Toc109906093"/>
      <w:r w:rsidRPr="00A07F4E">
        <w:t>A szektor méretére, tevékenységi körére és összetettségére vonatkozó információk összesített formában</w:t>
      </w:r>
      <w:bookmarkEnd w:id="315"/>
    </w:p>
    <w:p w14:paraId="7B5DE145" w14:textId="0216938F" w:rsidR="00903043" w:rsidRPr="009F3A30" w:rsidRDefault="00903043" w:rsidP="00903043">
      <w:r w:rsidRPr="009F3A30">
        <w:t>A</w:t>
      </w:r>
      <w:r w:rsidR="00E25797" w:rsidRPr="000222BD">
        <w:t>z MNB</w:t>
      </w:r>
      <w:r w:rsidRPr="000222BD">
        <w:t xml:space="preserve"> Magyarországon</w:t>
      </w:r>
      <w:r w:rsidRPr="009F3A30">
        <w:t xml:space="preserve"> </w:t>
      </w:r>
      <w:proofErr w:type="spellStart"/>
      <w:r w:rsidRPr="009F3A30">
        <w:t>AML</w:t>
      </w:r>
      <w:proofErr w:type="spellEnd"/>
      <w:r w:rsidRPr="009F3A30">
        <w:t>/</w:t>
      </w:r>
      <w:proofErr w:type="spellStart"/>
      <w:r w:rsidRPr="009F3A30">
        <w:t>CFT</w:t>
      </w:r>
      <w:proofErr w:type="spellEnd"/>
      <w:r w:rsidRPr="009F3A30">
        <w:t xml:space="preserve"> felügyeletet összesen </w:t>
      </w:r>
      <w:r w:rsidR="008817A0">
        <w:t>1-3 közötti számú</w:t>
      </w:r>
      <w:r w:rsidR="002078C6" w:rsidRPr="009F3A30">
        <w:t xml:space="preserve"> piacműködtető</w:t>
      </w:r>
      <w:r w:rsidRPr="009F3A30">
        <w:t xml:space="preserve"> felett gyakorol.</w:t>
      </w:r>
      <w:r w:rsidR="002078C6" w:rsidRPr="009F3A30">
        <w:t xml:space="preserve"> A piacműködtető olyan személy, amely irányítja, illetve működteti a szabályozott piac üzletvitelét, és amely maga a szabályozott piac. </w:t>
      </w:r>
      <w:r w:rsidRPr="009F3A30">
        <w:t xml:space="preserve"> </w:t>
      </w:r>
    </w:p>
    <w:p w14:paraId="5B981145" w14:textId="77777777" w:rsidR="00903043" w:rsidRPr="00A07F4E" w:rsidRDefault="00903043" w:rsidP="00A07F4E">
      <w:pPr>
        <w:pStyle w:val="Cmsor3"/>
        <w:numPr>
          <w:ilvl w:val="0"/>
          <w:numId w:val="177"/>
        </w:numPr>
      </w:pPr>
      <w:bookmarkStart w:id="316" w:name="_Toc109906094"/>
      <w:r w:rsidRPr="00A07F4E">
        <w:t>Inherens kockázatértékelés</w:t>
      </w:r>
      <w:bookmarkEnd w:id="316"/>
    </w:p>
    <w:p w14:paraId="73DB71FC" w14:textId="77777777" w:rsidR="00903043" w:rsidRPr="009F3A30" w:rsidRDefault="00903043" w:rsidP="00A07F4E">
      <w:pPr>
        <w:pStyle w:val="Listaszerbekezds"/>
        <w:numPr>
          <w:ilvl w:val="1"/>
          <w:numId w:val="39"/>
        </w:numPr>
        <w:ind w:left="851" w:hanging="284"/>
      </w:pPr>
      <w:r w:rsidRPr="009F3A30">
        <w:t xml:space="preserve">A </w:t>
      </w:r>
      <w:r w:rsidR="006055E9" w:rsidRPr="009F3A30">
        <w:t xml:space="preserve">piacműködtetői </w:t>
      </w:r>
      <w:r w:rsidRPr="009F3A30">
        <w:t>szektorban rejlő ML/</w:t>
      </w:r>
      <w:proofErr w:type="spellStart"/>
      <w:r w:rsidRPr="009F3A30">
        <w:t>TF</w:t>
      </w:r>
      <w:proofErr w:type="spellEnd"/>
      <w:r w:rsidRPr="009F3A30">
        <w:t xml:space="preserve"> kockázati tényezők</w:t>
      </w:r>
    </w:p>
    <w:p w14:paraId="44B0BC4B" w14:textId="1AEA7894" w:rsidR="00903043" w:rsidRDefault="00903043" w:rsidP="00903043">
      <w:r w:rsidRPr="000222BD">
        <w:t>A</w:t>
      </w:r>
      <w:r w:rsidR="00E25797" w:rsidRPr="006E35AE">
        <w:t>z MNB</w:t>
      </w:r>
      <w:r w:rsidRPr="006E35AE">
        <w:t xml:space="preserve"> az értékesítési csatornákban megjelenő kockázatot Mérsékelten jelentősnek, a földrajzi kitettségben, az ügyfelekben, termékekben/szolgáltatásokban rejlő kockázatokat pedig Kevésbé jelentősnek értékelte.</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E25797" w:rsidRPr="003168BA" w14:paraId="3D62EC24" w14:textId="77777777" w:rsidTr="00300DCA">
        <w:trPr>
          <w:trHeight w:val="314"/>
        </w:trPr>
        <w:tc>
          <w:tcPr>
            <w:tcW w:w="3061" w:type="dxa"/>
          </w:tcPr>
          <w:p w14:paraId="5B4C26FB" w14:textId="77777777" w:rsidR="00E25797" w:rsidRPr="00554E41" w:rsidRDefault="00E25797"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138055A9" w14:textId="77777777" w:rsidR="00E25797" w:rsidRPr="00554E41" w:rsidRDefault="00E25797"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E25797" w:rsidRPr="003168BA" w14:paraId="1B0CD684" w14:textId="77777777" w:rsidTr="000222BD">
        <w:tc>
          <w:tcPr>
            <w:tcW w:w="3061" w:type="dxa"/>
            <w:shd w:val="clear" w:color="auto" w:fill="auto"/>
          </w:tcPr>
          <w:p w14:paraId="170A0051" w14:textId="77777777" w:rsidR="00E25797" w:rsidRPr="00554E41" w:rsidRDefault="00E2579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92D050"/>
          </w:tcPr>
          <w:p w14:paraId="75BAD1BB" w14:textId="77777777" w:rsidR="00E25797" w:rsidRPr="00554E41" w:rsidRDefault="00E25797"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E25797" w14:paraId="07A10FB9" w14:textId="77777777" w:rsidTr="000222BD">
        <w:tc>
          <w:tcPr>
            <w:tcW w:w="3061" w:type="dxa"/>
            <w:shd w:val="clear" w:color="auto" w:fill="auto"/>
          </w:tcPr>
          <w:p w14:paraId="568E48DD" w14:textId="77777777" w:rsidR="00E25797" w:rsidRPr="00554E41" w:rsidRDefault="00E2579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92D050"/>
          </w:tcPr>
          <w:p w14:paraId="2B8E27FE" w14:textId="77777777" w:rsidR="00E25797" w:rsidRPr="00554E41" w:rsidRDefault="00E25797"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E25797" w14:paraId="2A41BE92" w14:textId="77777777" w:rsidTr="000222BD">
        <w:trPr>
          <w:trHeight w:val="50"/>
        </w:trPr>
        <w:tc>
          <w:tcPr>
            <w:tcW w:w="3061" w:type="dxa"/>
            <w:shd w:val="clear" w:color="auto" w:fill="auto"/>
          </w:tcPr>
          <w:p w14:paraId="48E4D485" w14:textId="77777777" w:rsidR="00E25797" w:rsidRPr="00554E41" w:rsidRDefault="00E2579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Földrajzi</w:t>
            </w:r>
          </w:p>
        </w:tc>
        <w:tc>
          <w:tcPr>
            <w:tcW w:w="3035" w:type="dxa"/>
            <w:shd w:val="clear" w:color="auto" w:fill="92D050"/>
          </w:tcPr>
          <w:p w14:paraId="0DB9C185" w14:textId="77777777" w:rsidR="00E25797" w:rsidRPr="00554E41" w:rsidRDefault="00E25797"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E25797" w14:paraId="41F09CF5" w14:textId="77777777" w:rsidTr="000222BD">
        <w:tc>
          <w:tcPr>
            <w:tcW w:w="3061" w:type="dxa"/>
            <w:shd w:val="clear" w:color="auto" w:fill="auto"/>
          </w:tcPr>
          <w:p w14:paraId="3738A3CF" w14:textId="77777777" w:rsidR="00E25797" w:rsidRPr="00554E41" w:rsidRDefault="00E25797"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FFFF00"/>
          </w:tcPr>
          <w:p w14:paraId="12F0FB97" w14:textId="77777777" w:rsidR="00E25797" w:rsidRPr="00554E41" w:rsidRDefault="00E25797"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bl>
    <w:p w14:paraId="556BC882" w14:textId="77777777" w:rsidR="00E25797" w:rsidRPr="009F3A30" w:rsidRDefault="00E25797" w:rsidP="00903043"/>
    <w:p w14:paraId="6C4E9094" w14:textId="77777777" w:rsidR="00F63B33" w:rsidRPr="009F3A30" w:rsidRDefault="00F63B33" w:rsidP="00F63B33">
      <w:r w:rsidRPr="009F3A30">
        <w:lastRenderedPageBreak/>
        <w:t xml:space="preserve">Készpénz ügyletek nem jellemzőek és a szektor csak más szektorok közreműködésével tud jelentős összegű ügyleteket lebonyolítani, amely kockázatcsökkentő tényező. </w:t>
      </w:r>
    </w:p>
    <w:p w14:paraId="25CF5112" w14:textId="06690016" w:rsidR="00903043" w:rsidRPr="009F3A30" w:rsidRDefault="00F63B33" w:rsidP="000222BD">
      <w:r w:rsidRPr="00F63B33">
        <w:t>A piacműködtetők a tevékenységük során létrejövő üzleti kapcsolatokat tőzsdetagokkal és kibocsátókkal létesítenek, ami további kockázatot csökkentő tényező. A hazai értéktőzsde tekintetében valamennyi tőzsdetag MNB felügyelet vagy társfelügyelet alatt áll.</w:t>
      </w:r>
      <w:r w:rsidR="004813F4">
        <w:t xml:space="preserve"> </w:t>
      </w:r>
      <w:r w:rsidR="00903043" w:rsidRPr="009F3A30">
        <w:t xml:space="preserve">A </w:t>
      </w:r>
      <w:r w:rsidR="006055E9" w:rsidRPr="009F3A30">
        <w:t xml:space="preserve">piacműködtetői szektorban </w:t>
      </w:r>
      <w:r w:rsidR="00903043" w:rsidRPr="009F3A30">
        <w:t>rejlő, határokon átnyúló ML/</w:t>
      </w:r>
      <w:proofErr w:type="spellStart"/>
      <w:r w:rsidR="00903043" w:rsidRPr="009F3A30">
        <w:t>TF</w:t>
      </w:r>
      <w:proofErr w:type="spellEnd"/>
      <w:r w:rsidR="00903043" w:rsidRPr="009F3A30">
        <w:t xml:space="preserve"> kockázatok</w:t>
      </w:r>
    </w:p>
    <w:p w14:paraId="490E8C09" w14:textId="769B5C17" w:rsidR="00903043" w:rsidRPr="009F3A30" w:rsidRDefault="00903043" w:rsidP="00903043">
      <w:r w:rsidRPr="009F3A30">
        <w:t>A szektor</w:t>
      </w:r>
      <w:r w:rsidR="00F63B33">
        <w:t xml:space="preserve"> vonatkozásában az MNB nem azonosított határokon átnyúló ML/</w:t>
      </w:r>
      <w:proofErr w:type="spellStart"/>
      <w:r w:rsidR="00F63B33">
        <w:t>TF</w:t>
      </w:r>
      <w:proofErr w:type="spellEnd"/>
      <w:r w:rsidR="00F63B33">
        <w:t xml:space="preserve"> kockázatot. </w:t>
      </w:r>
      <w:r w:rsidRPr="009F3A30">
        <w:t xml:space="preserve"> </w:t>
      </w:r>
    </w:p>
    <w:p w14:paraId="4E1F06A4" w14:textId="4128C322" w:rsidR="00903043" w:rsidRPr="009F3A30" w:rsidRDefault="00F63B33" w:rsidP="00903043">
      <w:pPr>
        <w:rPr>
          <w:b/>
        </w:rPr>
      </w:pPr>
      <w:r w:rsidRPr="000222BD">
        <w:rPr>
          <w:b/>
        </w:rPr>
        <w:t>Az MNB</w:t>
      </w:r>
      <w:r w:rsidR="00903043" w:rsidRPr="009F3A30">
        <w:rPr>
          <w:b/>
        </w:rPr>
        <w:t xml:space="preserve"> értékelése alapján, figyelembe véve a fent részletezetteket a </w:t>
      </w:r>
      <w:r w:rsidR="002C35A2" w:rsidRPr="009F3A30">
        <w:rPr>
          <w:b/>
        </w:rPr>
        <w:t>piacműködtetői</w:t>
      </w:r>
      <w:r w:rsidR="006055E9" w:rsidRPr="009F3A30">
        <w:rPr>
          <w:b/>
        </w:rPr>
        <w:t xml:space="preserve"> szektor</w:t>
      </w:r>
      <w:r w:rsidR="00903043" w:rsidRPr="009F3A30">
        <w:rPr>
          <w:b/>
        </w:rPr>
        <w:t xml:space="preserve"> Kevésbé jelentős inherens kockázati értékkel rendelkezik.</w:t>
      </w:r>
    </w:p>
    <w:tbl>
      <w:tblPr>
        <w:tblW w:w="3680" w:type="dxa"/>
        <w:jc w:val="center"/>
        <w:tblCellMar>
          <w:left w:w="70" w:type="dxa"/>
          <w:right w:w="70" w:type="dxa"/>
        </w:tblCellMar>
        <w:tblLook w:val="04A0" w:firstRow="1" w:lastRow="0" w:firstColumn="1" w:lastColumn="0" w:noHBand="0" w:noVBand="1"/>
      </w:tblPr>
      <w:tblGrid>
        <w:gridCol w:w="1780"/>
        <w:gridCol w:w="1900"/>
      </w:tblGrid>
      <w:tr w:rsidR="00903043" w:rsidRPr="00A07F4E" w14:paraId="6FFB003B" w14:textId="77777777" w:rsidTr="002078C6">
        <w:trPr>
          <w:trHeight w:val="300"/>
          <w:jc w:val="center"/>
        </w:trPr>
        <w:tc>
          <w:tcPr>
            <w:tcW w:w="1780" w:type="dxa"/>
            <w:tcBorders>
              <w:top w:val="nil"/>
              <w:left w:val="nil"/>
              <w:bottom w:val="nil"/>
              <w:right w:val="nil"/>
            </w:tcBorders>
            <w:shd w:val="clear" w:color="auto" w:fill="auto"/>
            <w:noWrap/>
            <w:vAlign w:val="center"/>
            <w:hideMark/>
          </w:tcPr>
          <w:p w14:paraId="174EA576" w14:textId="77777777" w:rsidR="00903043" w:rsidRPr="009F3A30" w:rsidRDefault="00903043" w:rsidP="002078C6">
            <w:pPr>
              <w:spacing w:after="0" w:line="240" w:lineRule="auto"/>
              <w:jc w:val="center"/>
              <w:rPr>
                <w:b/>
                <w:color w:val="000000"/>
              </w:rPr>
            </w:pPr>
            <w:r w:rsidRPr="009F3A30">
              <w:rPr>
                <w:b/>
                <w:color w:val="000000"/>
              </w:rPr>
              <w:t>Inherens kockázat:</w:t>
            </w:r>
            <w:r w:rsidRPr="009F3A30">
              <w:rPr>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2E5837" w14:textId="77777777" w:rsidR="00903043" w:rsidRPr="009F3A30" w:rsidRDefault="00903043" w:rsidP="002078C6">
            <w:pPr>
              <w:spacing w:after="0" w:line="240" w:lineRule="auto"/>
              <w:jc w:val="center"/>
              <w:rPr>
                <w:color w:val="000000"/>
                <w:sz w:val="18"/>
              </w:rPr>
            </w:pPr>
            <w:r w:rsidRPr="009F3A30">
              <w:rPr>
                <w:color w:val="000000"/>
                <w:sz w:val="18"/>
              </w:rPr>
              <w:t>Kevésbé jelentős</w:t>
            </w:r>
          </w:p>
        </w:tc>
      </w:tr>
    </w:tbl>
    <w:p w14:paraId="0B44D7DD" w14:textId="77777777" w:rsidR="00903043" w:rsidRPr="009F3A30" w:rsidRDefault="00903043" w:rsidP="00903043"/>
    <w:p w14:paraId="6B19F9A5" w14:textId="77777777" w:rsidR="00903043" w:rsidRPr="00A07F4E" w:rsidRDefault="00903043" w:rsidP="00A07F4E">
      <w:pPr>
        <w:pStyle w:val="Cmsor3"/>
        <w:numPr>
          <w:ilvl w:val="0"/>
          <w:numId w:val="177"/>
        </w:numPr>
      </w:pPr>
      <w:bookmarkStart w:id="317" w:name="_Toc109906095"/>
      <w:r w:rsidRPr="00A07F4E">
        <w:t>Az ellenőrzések minősége, felügyeleti tevékenység, azonosított jogsértések</w:t>
      </w:r>
      <w:bookmarkEnd w:id="317"/>
    </w:p>
    <w:p w14:paraId="5E8B3044" w14:textId="0B7D8747" w:rsidR="0076680C" w:rsidRPr="009F3A30" w:rsidRDefault="00903043" w:rsidP="0076680C">
      <w:r w:rsidRPr="009F3A30">
        <w:t>A p</w:t>
      </w:r>
      <w:r w:rsidR="006055E9" w:rsidRPr="009F3A30">
        <w:t>iacműködtetők</w:t>
      </w:r>
      <w:r w:rsidRPr="009F3A30">
        <w:t xml:space="preserve"> tevékenységét </w:t>
      </w:r>
      <w:r w:rsidR="00F63B33">
        <w:t xml:space="preserve">az </w:t>
      </w:r>
      <w:r w:rsidR="00F63B33" w:rsidRPr="00F63B33">
        <w:t>MNB</w:t>
      </w:r>
      <w:r w:rsidR="0076680C" w:rsidRPr="009F3A30">
        <w:t xml:space="preserve"> jellemzően folyamatos felügyelés keretében, illetve </w:t>
      </w:r>
      <w:proofErr w:type="spellStart"/>
      <w:r w:rsidR="0076680C" w:rsidRPr="009F3A30">
        <w:t>off</w:t>
      </w:r>
      <w:proofErr w:type="spellEnd"/>
      <w:r w:rsidR="0076680C" w:rsidRPr="009F3A30">
        <w:t>-site jellegű vizsgálatokkal ellenőrzi. A</w:t>
      </w:r>
      <w:r w:rsidR="00F63B33" w:rsidRPr="00F63B33">
        <w:t>z MNB</w:t>
      </w:r>
      <w:r w:rsidR="0076680C" w:rsidRPr="009F3A30">
        <w:t xml:space="preserve"> a piacműködtetői szektor</w:t>
      </w:r>
      <w:r w:rsidR="002C35A2" w:rsidRPr="009F3A30">
        <w:t xml:space="preserve">hoz tartozó </w:t>
      </w:r>
      <w:r w:rsidR="008C1A55">
        <w:t>szolgáltatók</w:t>
      </w:r>
      <w:r w:rsidR="002C35A2" w:rsidRPr="009F3A30">
        <w:t xml:space="preserve"> </w:t>
      </w:r>
      <w:r w:rsidR="0076680C" w:rsidRPr="009F3A30">
        <w:t>ügyfele</w:t>
      </w:r>
      <w:r w:rsidR="002C35A2" w:rsidRPr="009F3A30">
        <w:t>i</w:t>
      </w:r>
      <w:r w:rsidR="0076680C" w:rsidRPr="009F3A30">
        <w:t>től</w:t>
      </w:r>
      <w:r w:rsidR="00E76015" w:rsidRPr="009F3A30">
        <w:t>,</w:t>
      </w:r>
      <w:r w:rsidR="0076680C" w:rsidRPr="009F3A30">
        <w:t xml:space="preserve"> illetve társhatóságoktól érkező panaszok és sajtófigyelés során szerzett információk alapján felügyeli, felmerülő kockázati jelzés alapján ellenőrzi. </w:t>
      </w:r>
      <w:r w:rsidR="0076680C" w:rsidRPr="00F63B33">
        <w:t>A</w:t>
      </w:r>
      <w:r w:rsidR="00F63B33" w:rsidRPr="00F63B33">
        <w:t>z MNB</w:t>
      </w:r>
      <w:r w:rsidR="0076680C" w:rsidRPr="000222BD">
        <w:t>-nek</w:t>
      </w:r>
      <w:r w:rsidR="0076680C" w:rsidRPr="009F3A30">
        <w:t xml:space="preserve"> a szektort tekintve – a kockázatalapú megközelítésre, illetve a Kevésbé jelentős inherens kockázatra figyelemmel – csekély a rendelkezésre álló felügyeleti tapasztalata.  </w:t>
      </w:r>
    </w:p>
    <w:p w14:paraId="1CC78E53" w14:textId="2CA99D99" w:rsidR="00903043" w:rsidRDefault="00903043" w:rsidP="00903043">
      <w:r w:rsidRPr="009F3A30">
        <w:t xml:space="preserve">Megjegyzendő, hogy a </w:t>
      </w:r>
      <w:r w:rsidR="00E76015" w:rsidRPr="009F3A30">
        <w:t>piacműködtetők</w:t>
      </w:r>
      <w:r w:rsidRPr="009F3A30">
        <w:t xml:space="preserve"> tranzakciókhoz kapcsolódó bejelentéseik száma a többi szektoréhoz viszonyítva alacsonyabb, azonban ez a Kevésbé jelentős inherens kockázati besorolásra tekintettel nem nevezhető szokatlannak, így kockázatot növelő tényezőnek. </w:t>
      </w:r>
    </w:p>
    <w:p w14:paraId="2EABD607" w14:textId="77777777" w:rsidR="00903043" w:rsidRPr="00A07F4E" w:rsidRDefault="00903043" w:rsidP="00A07F4E">
      <w:pPr>
        <w:pStyle w:val="Cmsor3"/>
        <w:numPr>
          <w:ilvl w:val="0"/>
          <w:numId w:val="177"/>
        </w:numPr>
      </w:pPr>
      <w:bookmarkStart w:id="318" w:name="_Toc109906096"/>
      <w:r w:rsidRPr="00A07F4E">
        <w:t>Maradványkockázat</w:t>
      </w:r>
      <w:bookmarkEnd w:id="318"/>
    </w:p>
    <w:p w14:paraId="113E9626" w14:textId="501F2A8F" w:rsidR="00903043" w:rsidRPr="009F3A30" w:rsidRDefault="00903043" w:rsidP="00903043">
      <w:r w:rsidRPr="009F3A30">
        <w:t>Ez idáig a</w:t>
      </w:r>
      <w:r w:rsidR="00F63B33" w:rsidRPr="000222BD">
        <w:t>z MNB</w:t>
      </w:r>
      <w:r w:rsidRPr="000222BD">
        <w:t>-nek</w:t>
      </w:r>
      <w:r w:rsidRPr="009F3A30">
        <w:t xml:space="preserve"> olyan kockázatot növelő tényező nem jutott a tudomására, amely hatással lenne az inherens kockázati tényezőre, annak eltérítését indokolná. </w:t>
      </w:r>
      <w:r w:rsidRPr="00F63B33">
        <w:t>A</w:t>
      </w:r>
      <w:r w:rsidR="00F63B33" w:rsidRPr="00F63B33">
        <w:t>z MNB</w:t>
      </w:r>
      <w:r w:rsidRPr="009F3A30">
        <w:t xml:space="preserve"> mérlegelve a szektornál részletezetteket a maradványkockázatot Kevésbé jelentősnek értékeli, amely az inherens kockázati besorolással megegyezik.  </w:t>
      </w:r>
    </w:p>
    <w:tbl>
      <w:tblPr>
        <w:tblW w:w="3180" w:type="dxa"/>
        <w:jc w:val="center"/>
        <w:tblCellMar>
          <w:left w:w="70" w:type="dxa"/>
          <w:right w:w="70" w:type="dxa"/>
        </w:tblCellMar>
        <w:tblLook w:val="04A0" w:firstRow="1" w:lastRow="0" w:firstColumn="1" w:lastColumn="0" w:noHBand="0" w:noVBand="1"/>
      </w:tblPr>
      <w:tblGrid>
        <w:gridCol w:w="1698"/>
        <w:gridCol w:w="1520"/>
      </w:tblGrid>
      <w:tr w:rsidR="00903043" w:rsidRPr="00A07F4E" w14:paraId="3EF57AFD" w14:textId="77777777" w:rsidTr="002078C6">
        <w:trPr>
          <w:trHeight w:val="300"/>
          <w:jc w:val="center"/>
        </w:trPr>
        <w:tc>
          <w:tcPr>
            <w:tcW w:w="1660" w:type="dxa"/>
            <w:tcBorders>
              <w:top w:val="nil"/>
              <w:left w:val="nil"/>
              <w:bottom w:val="nil"/>
              <w:right w:val="nil"/>
            </w:tcBorders>
            <w:shd w:val="clear" w:color="auto" w:fill="auto"/>
            <w:noWrap/>
            <w:vAlign w:val="center"/>
            <w:hideMark/>
          </w:tcPr>
          <w:p w14:paraId="2912EDD9" w14:textId="77777777" w:rsidR="00903043" w:rsidRPr="009F3A30" w:rsidRDefault="00903043" w:rsidP="002078C6">
            <w:pPr>
              <w:spacing w:after="0" w:line="240" w:lineRule="auto"/>
              <w:jc w:val="center"/>
              <w:rPr>
                <w:b/>
                <w:color w:val="000000"/>
                <w:sz w:val="18"/>
              </w:rPr>
            </w:pPr>
            <w:r w:rsidRPr="009F3A30">
              <w:rPr>
                <w:b/>
                <w:color w:val="000000"/>
                <w:sz w:val="18"/>
              </w:rPr>
              <w:t>Maradványkockázat:</w:t>
            </w: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63B6098" w14:textId="77777777" w:rsidR="00903043" w:rsidRPr="009F3A30" w:rsidRDefault="00903043" w:rsidP="002078C6">
            <w:pPr>
              <w:spacing w:after="0" w:line="240" w:lineRule="auto"/>
              <w:jc w:val="center"/>
              <w:rPr>
                <w:color w:val="000000"/>
                <w:sz w:val="18"/>
              </w:rPr>
            </w:pPr>
            <w:r w:rsidRPr="009F3A30">
              <w:rPr>
                <w:color w:val="000000"/>
                <w:sz w:val="18"/>
              </w:rPr>
              <w:t>Kevésbé jelentős</w:t>
            </w:r>
          </w:p>
        </w:tc>
      </w:tr>
    </w:tbl>
    <w:p w14:paraId="6A7C1898" w14:textId="77777777" w:rsidR="00080478" w:rsidRPr="009F3A30" w:rsidRDefault="00080478" w:rsidP="00080478">
      <w:pPr>
        <w:rPr>
          <w:b/>
        </w:rPr>
      </w:pPr>
    </w:p>
    <w:p w14:paraId="35C87382" w14:textId="77777777" w:rsidR="00CF1116" w:rsidRPr="00A07F4E" w:rsidRDefault="00E45387" w:rsidP="000222BD">
      <w:pPr>
        <w:pStyle w:val="Cmsor2"/>
      </w:pPr>
      <w:bookmarkStart w:id="319" w:name="_Toc109906097"/>
      <w:r w:rsidRPr="00A07F4E">
        <w:t>Pénzpiaci közvetítő</w:t>
      </w:r>
      <w:r w:rsidR="001C1F19">
        <w:t>k</w:t>
      </w:r>
      <w:bookmarkEnd w:id="319"/>
      <w:r w:rsidRPr="00A07F4E">
        <w:t xml:space="preserve"> </w:t>
      </w:r>
    </w:p>
    <w:p w14:paraId="66041878" w14:textId="77777777" w:rsidR="004C585C" w:rsidRPr="00A07F4E" w:rsidRDefault="004C585C" w:rsidP="00A07F4E">
      <w:pPr>
        <w:pStyle w:val="Cmsor3"/>
        <w:numPr>
          <w:ilvl w:val="0"/>
          <w:numId w:val="182"/>
        </w:numPr>
      </w:pPr>
      <w:bookmarkStart w:id="320" w:name="_Toc109906098"/>
      <w:r w:rsidRPr="00A07F4E">
        <w:t>A szektor méretére, tevékenységi körére és összetettségére vonatkozó információk összesített formában</w:t>
      </w:r>
      <w:bookmarkEnd w:id="320"/>
    </w:p>
    <w:p w14:paraId="462B900E" w14:textId="372796D0" w:rsidR="004C585C" w:rsidRPr="009F3A30" w:rsidRDefault="004C585C" w:rsidP="004C585C">
      <w:r w:rsidRPr="000222BD">
        <w:t>A</w:t>
      </w:r>
      <w:r w:rsidR="00F63B33" w:rsidRPr="00F63B33">
        <w:t>z MNB</w:t>
      </w:r>
      <w:r w:rsidRPr="009F3A30">
        <w:t xml:space="preserve"> Magyarországon </w:t>
      </w:r>
      <w:proofErr w:type="spellStart"/>
      <w:r w:rsidRPr="009F3A30">
        <w:t>AML</w:t>
      </w:r>
      <w:proofErr w:type="spellEnd"/>
      <w:r w:rsidRPr="009F3A30">
        <w:t>/</w:t>
      </w:r>
      <w:proofErr w:type="spellStart"/>
      <w:r w:rsidRPr="009F3A30">
        <w:t>CFT</w:t>
      </w:r>
      <w:proofErr w:type="spellEnd"/>
      <w:r w:rsidRPr="009F3A30">
        <w:t xml:space="preserve"> felügyeletet összesen </w:t>
      </w:r>
      <w:r w:rsidR="004B0D1C" w:rsidRPr="00FC37B3">
        <w:t>1</w:t>
      </w:r>
      <w:r w:rsidR="004B0D1C">
        <w:t>5</w:t>
      </w:r>
      <w:r w:rsidR="004B0D1C" w:rsidRPr="00FC37B3">
        <w:t xml:space="preserve"> </w:t>
      </w:r>
      <w:r w:rsidR="00DA5E2B" w:rsidRPr="00FC37B3">
        <w:t>és 20 közötti</w:t>
      </w:r>
      <w:r w:rsidRPr="001203CB">
        <w:t xml:space="preserve"> </w:t>
      </w:r>
      <w:r w:rsidR="00DA5E2B" w:rsidRPr="009F3A30">
        <w:t>többes kiemelt közvetítő és alkusz</w:t>
      </w:r>
      <w:r w:rsidR="009D5483" w:rsidRPr="009F3A30">
        <w:t xml:space="preserve"> (a továbbiakban együttesen: </w:t>
      </w:r>
      <w:r w:rsidR="00E45387" w:rsidRPr="009F3A30">
        <w:t>pénzpiaci</w:t>
      </w:r>
      <w:r w:rsidR="003D5B98" w:rsidRPr="009F3A30">
        <w:t xml:space="preserve"> </w:t>
      </w:r>
      <w:r w:rsidR="009D5483" w:rsidRPr="009F3A30">
        <w:t>közvetítő)</w:t>
      </w:r>
      <w:r w:rsidRPr="009F3A30">
        <w:t xml:space="preserve"> felett gyakorol. A </w:t>
      </w:r>
      <w:r w:rsidR="00E45387" w:rsidRPr="009F3A30">
        <w:t xml:space="preserve">pénzpiaci </w:t>
      </w:r>
      <w:r w:rsidRPr="009F3A30">
        <w:t xml:space="preserve">közvetítők </w:t>
      </w:r>
      <w:r w:rsidR="009D5483" w:rsidRPr="009F3A30">
        <w:t>pénzügyi szolgáltatási</w:t>
      </w:r>
      <w:r w:rsidRPr="009F3A30">
        <w:t xml:space="preserve"> tevékenységet látnak el. </w:t>
      </w:r>
    </w:p>
    <w:p w14:paraId="10424879" w14:textId="37B91E1F" w:rsidR="003D5B98" w:rsidRDefault="003D5B98" w:rsidP="004C585C">
      <w:r w:rsidRPr="009F3A30">
        <w:t xml:space="preserve">Mind a többes kiemelt közvetítők, mind az alkuszok tevékenysége nem egy meghatározott pénzügyi intézmény pénzügyi szolgáltatási tevékenységéhez kapcsolódik, ezért a közvetítői tevékenységet a </w:t>
      </w:r>
      <w:r w:rsidR="00833B0D" w:rsidRPr="009F3A30">
        <w:t xml:space="preserve">pénzpiaci </w:t>
      </w:r>
      <w:r w:rsidRPr="009F3A30">
        <w:t>közvetítők az MNB által kiadott tevékenységi engedély alapján végezhetik.</w:t>
      </w:r>
      <w:r w:rsidR="00796D0F" w:rsidRPr="009F3A30">
        <w:t xml:space="preserve"> A többes kiemelt közvetítő tevékenységet több pénzügyi intézmény egymással versengő pénzügyi szolgáltatása vonatkozásában folytat.</w:t>
      </w:r>
    </w:p>
    <w:p w14:paraId="1D65F5DC" w14:textId="77777777" w:rsidR="004C585C" w:rsidRPr="00A07F4E" w:rsidRDefault="004C585C" w:rsidP="00A07F4E">
      <w:pPr>
        <w:pStyle w:val="Cmsor3"/>
        <w:numPr>
          <w:ilvl w:val="0"/>
          <w:numId w:val="182"/>
        </w:numPr>
      </w:pPr>
      <w:bookmarkStart w:id="321" w:name="_Toc106198085"/>
      <w:bookmarkStart w:id="322" w:name="_Toc106198731"/>
      <w:bookmarkStart w:id="323" w:name="_Toc106869669"/>
      <w:bookmarkStart w:id="324" w:name="_Toc107236534"/>
      <w:bookmarkStart w:id="325" w:name="_Toc107237442"/>
      <w:bookmarkStart w:id="326" w:name="_Toc107237772"/>
      <w:bookmarkStart w:id="327" w:name="_Toc109906099"/>
      <w:bookmarkEnd w:id="321"/>
      <w:bookmarkEnd w:id="322"/>
      <w:bookmarkEnd w:id="323"/>
      <w:bookmarkEnd w:id="324"/>
      <w:bookmarkEnd w:id="325"/>
      <w:bookmarkEnd w:id="326"/>
      <w:r w:rsidRPr="00A07F4E">
        <w:t>Inherens kockázatértékelés</w:t>
      </w:r>
      <w:bookmarkEnd w:id="327"/>
    </w:p>
    <w:p w14:paraId="2527E13C" w14:textId="77777777" w:rsidR="004C585C" w:rsidRPr="009F3A30" w:rsidRDefault="00176575" w:rsidP="00A07F4E">
      <w:pPr>
        <w:pStyle w:val="Listaszerbekezds"/>
        <w:numPr>
          <w:ilvl w:val="1"/>
          <w:numId w:val="44"/>
        </w:numPr>
        <w:ind w:left="851" w:hanging="284"/>
      </w:pPr>
      <w:r w:rsidRPr="009F3A30">
        <w:t xml:space="preserve">A </w:t>
      </w:r>
      <w:r w:rsidR="00833B0D" w:rsidRPr="009F3A30">
        <w:t>pénzpiaci közvetítői</w:t>
      </w:r>
      <w:r w:rsidR="004C585C" w:rsidRPr="009F3A30">
        <w:t xml:space="preserve"> szektorban rejlő ML/</w:t>
      </w:r>
      <w:proofErr w:type="spellStart"/>
      <w:r w:rsidR="004C585C" w:rsidRPr="009F3A30">
        <w:t>TF</w:t>
      </w:r>
      <w:proofErr w:type="spellEnd"/>
      <w:r w:rsidR="004C585C" w:rsidRPr="009F3A30">
        <w:t xml:space="preserve"> kockázati tényezők</w:t>
      </w:r>
    </w:p>
    <w:p w14:paraId="05F88EA5" w14:textId="210E670F" w:rsidR="004C585C" w:rsidRDefault="00F63B33" w:rsidP="004C585C">
      <w:r w:rsidRPr="006E35AE">
        <w:t>Az MNB</w:t>
      </w:r>
      <w:r w:rsidR="004C585C" w:rsidRPr="006E35AE">
        <w:t xml:space="preserve"> az értékesítési csatornákban megjelenő kockázatot Mérsékelten jelentősnek, a földrajzi kitettségben, az ügyfelekben, termékekben/szolgáltatásokban rejlő kockázatokat pedig Kevésbé jelentősnek értékelte.</w:t>
      </w:r>
    </w:p>
    <w:p w14:paraId="40946B6A" w14:textId="77777777" w:rsidR="00C63813" w:rsidRPr="009F3A30" w:rsidRDefault="00C63813" w:rsidP="004C585C"/>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474E01" w:rsidRPr="003168BA" w14:paraId="6152D2C1" w14:textId="77777777" w:rsidTr="00300DCA">
        <w:trPr>
          <w:trHeight w:val="314"/>
        </w:trPr>
        <w:tc>
          <w:tcPr>
            <w:tcW w:w="3061" w:type="dxa"/>
          </w:tcPr>
          <w:p w14:paraId="70F410E8" w14:textId="77777777" w:rsidR="00474E01" w:rsidRPr="00554E41" w:rsidRDefault="00474E01"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lastRenderedPageBreak/>
              <w:t>Kockázat megnevezése</w:t>
            </w:r>
          </w:p>
        </w:tc>
        <w:tc>
          <w:tcPr>
            <w:tcW w:w="3035" w:type="dxa"/>
          </w:tcPr>
          <w:p w14:paraId="5E398FE9" w14:textId="77777777" w:rsidR="00474E01" w:rsidRPr="00554E41" w:rsidRDefault="00474E01"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474E01" w:rsidRPr="003168BA" w14:paraId="17D9BAD5" w14:textId="77777777" w:rsidTr="00CF11CD">
        <w:tc>
          <w:tcPr>
            <w:tcW w:w="3061" w:type="dxa"/>
            <w:shd w:val="clear" w:color="auto" w:fill="auto"/>
          </w:tcPr>
          <w:p w14:paraId="416C32A5" w14:textId="77777777" w:rsidR="00474E01" w:rsidRPr="00554E41" w:rsidRDefault="00474E01"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92D050"/>
          </w:tcPr>
          <w:p w14:paraId="6EDFB96F" w14:textId="77777777" w:rsidR="00474E01" w:rsidRPr="00554E41" w:rsidRDefault="00474E01"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474E01" w14:paraId="06E8EB95" w14:textId="77777777" w:rsidTr="00CF11CD">
        <w:tc>
          <w:tcPr>
            <w:tcW w:w="3061" w:type="dxa"/>
            <w:shd w:val="clear" w:color="auto" w:fill="auto"/>
          </w:tcPr>
          <w:p w14:paraId="16E13940" w14:textId="77777777" w:rsidR="00474E01" w:rsidRPr="00554E41" w:rsidRDefault="00474E01"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92D050"/>
          </w:tcPr>
          <w:p w14:paraId="595E04BF" w14:textId="77777777" w:rsidR="00474E01" w:rsidRPr="00554E41" w:rsidRDefault="00474E01"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474E01" w14:paraId="684E4945" w14:textId="77777777" w:rsidTr="00CF11CD">
        <w:trPr>
          <w:trHeight w:val="50"/>
        </w:trPr>
        <w:tc>
          <w:tcPr>
            <w:tcW w:w="3061" w:type="dxa"/>
            <w:shd w:val="clear" w:color="auto" w:fill="auto"/>
          </w:tcPr>
          <w:p w14:paraId="30A25E97" w14:textId="77777777" w:rsidR="00474E01" w:rsidRPr="00554E41" w:rsidRDefault="00474E01"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Földrajzi</w:t>
            </w:r>
          </w:p>
        </w:tc>
        <w:tc>
          <w:tcPr>
            <w:tcW w:w="3035" w:type="dxa"/>
            <w:shd w:val="clear" w:color="auto" w:fill="92D050"/>
          </w:tcPr>
          <w:p w14:paraId="601387D1" w14:textId="77777777" w:rsidR="00474E01" w:rsidRPr="00554E41" w:rsidRDefault="00474E01"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474E01" w14:paraId="7CAACF82" w14:textId="77777777" w:rsidTr="00CF11CD">
        <w:tc>
          <w:tcPr>
            <w:tcW w:w="3061" w:type="dxa"/>
            <w:shd w:val="clear" w:color="auto" w:fill="auto"/>
          </w:tcPr>
          <w:p w14:paraId="1E5DCEEF" w14:textId="77777777" w:rsidR="00474E01" w:rsidRPr="00554E41" w:rsidRDefault="00474E01"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FFFF00"/>
          </w:tcPr>
          <w:p w14:paraId="0FD86BC3" w14:textId="77777777" w:rsidR="00474E01" w:rsidRPr="00554E41" w:rsidRDefault="00474E01"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Mérsékelten jelentős</w:t>
            </w:r>
          </w:p>
        </w:tc>
      </w:tr>
    </w:tbl>
    <w:p w14:paraId="6973862C" w14:textId="77777777" w:rsidR="00447E4D" w:rsidRDefault="00447E4D" w:rsidP="00C63813">
      <w:pPr>
        <w:spacing w:before="120"/>
      </w:pPr>
      <w:r w:rsidRPr="00447E4D">
        <w:t xml:space="preserve">A </w:t>
      </w:r>
      <w:r>
        <w:t>p</w:t>
      </w:r>
      <w:r w:rsidRPr="00447E4D">
        <w:t>énzpiaci közvetítők a pénzügyi intézmények által nyújtott termékeket közvetítik, amelyek kockázata így minden esetben az ügyféllel szerződést kötő pénzügyi intézmény termékkockázatához igazodik.</w:t>
      </w:r>
    </w:p>
    <w:p w14:paraId="3017C0C7" w14:textId="47EDB721" w:rsidR="00447E4D" w:rsidRDefault="00447E4D" w:rsidP="004C585C">
      <w:r w:rsidRPr="00447E4D">
        <w:t xml:space="preserve">A </w:t>
      </w:r>
      <w:r>
        <w:t>p</w:t>
      </w:r>
      <w:r w:rsidRPr="00447E4D">
        <w:t xml:space="preserve">énzpiaci közvetítői tevékenység jellegéből adódóan jellemzően személyesen találkoznak az ügyfelekkel, más csatorna igénybevételére a tevékenység alaptermészetére tekintettel jellemzően nem kerül sor. Kockázat abban az esetben merül fel, ha a </w:t>
      </w:r>
      <w:r>
        <w:t>p</w:t>
      </w:r>
      <w:r w:rsidRPr="00447E4D">
        <w:t xml:space="preserve">énzpiaci közvetítő közvetítői alvállalkozót vesz igénybe, amelynek igénybevételével a személyes találkozás nem a </w:t>
      </w:r>
      <w:r>
        <w:t>p</w:t>
      </w:r>
      <w:r w:rsidRPr="00447E4D">
        <w:t>énzpiaci közvetítő és az ügyfél között valósul meg, hanem egy plusz szereplő, a közvetítői alvállalkozó és az ügyfél között.</w:t>
      </w:r>
    </w:p>
    <w:p w14:paraId="017787C7" w14:textId="186AE4FE" w:rsidR="008349C0" w:rsidRDefault="00447E4D" w:rsidP="004C585C">
      <w:r w:rsidRPr="00447E4D">
        <w:t xml:space="preserve">Tekintettel arra, hogy a </w:t>
      </w:r>
      <w:r>
        <w:t>p</w:t>
      </w:r>
      <w:r w:rsidRPr="00447E4D">
        <w:t xml:space="preserve">énzpiaci közvetítők kevesebb anyagi erőforrással rendelkeznek, mint például a hitelintézeti szektorhoz tartozó szolgáltatók, úgy a </w:t>
      </w:r>
      <w:r>
        <w:t>p</w:t>
      </w:r>
      <w:r w:rsidRPr="00447E4D">
        <w:t xml:space="preserve">énzpiaci közvetítők esetében különösen elmondható, hogy erősen fejlesztendőek az </w:t>
      </w:r>
      <w:proofErr w:type="spellStart"/>
      <w:r w:rsidRPr="00447E4D">
        <w:t>AML</w:t>
      </w:r>
      <w:proofErr w:type="spellEnd"/>
      <w:r w:rsidRPr="00447E4D">
        <w:t xml:space="preserve"> eljárások, így különösen fejlesztendő </w:t>
      </w:r>
      <w:proofErr w:type="spellStart"/>
      <w:r w:rsidRPr="00447E4D">
        <w:t>AML</w:t>
      </w:r>
      <w:proofErr w:type="spellEnd"/>
      <w:r w:rsidRPr="00447E4D">
        <w:t xml:space="preserve"> tranzakció </w:t>
      </w:r>
      <w:proofErr w:type="spellStart"/>
      <w:r w:rsidRPr="00447E4D">
        <w:t>monitoringgal</w:t>
      </w:r>
      <w:proofErr w:type="spellEnd"/>
      <w:r w:rsidRPr="00447E4D">
        <w:t xml:space="preserve"> és gyanús ügyletek bejelentésére vonatkozó politikákkal és eljárásokkal rendelkeznek.</w:t>
      </w:r>
      <w:r w:rsidR="008349C0">
        <w:t xml:space="preserve"> </w:t>
      </w:r>
      <w:r w:rsidR="008349C0" w:rsidRPr="008349C0">
        <w:t xml:space="preserve">A szolgáltatók továbbra is szabályalapú megoldásokat vagy utasításokat várnak az </w:t>
      </w:r>
      <w:proofErr w:type="spellStart"/>
      <w:r w:rsidR="008349C0" w:rsidRPr="008349C0">
        <w:t>AML</w:t>
      </w:r>
      <w:proofErr w:type="spellEnd"/>
      <w:r w:rsidR="008349C0" w:rsidRPr="008349C0">
        <w:t>/</w:t>
      </w:r>
      <w:proofErr w:type="spellStart"/>
      <w:r w:rsidR="008349C0" w:rsidRPr="008349C0">
        <w:t>CFT</w:t>
      </w:r>
      <w:proofErr w:type="spellEnd"/>
      <w:r w:rsidR="008349C0" w:rsidRPr="008349C0">
        <w:t xml:space="preserve"> politikák végrehajtásához,</w:t>
      </w:r>
      <w:r w:rsidR="008349C0">
        <w:t xml:space="preserve"> pénzeszköz forrás vizsgálatának gyakorlata nem </w:t>
      </w:r>
      <w:r w:rsidR="00073881">
        <w:t>kielégítő,</w:t>
      </w:r>
      <w:r w:rsidR="008349C0">
        <w:t xml:space="preserve"> illetve </w:t>
      </w:r>
      <w:r w:rsidR="008349C0" w:rsidRPr="008349C0">
        <w:t>a kockázatalapú megközelítést nem hajtják végre kellőképpen, amely belső kontroll hiányosságokat eredményeznek.</w:t>
      </w:r>
      <w:r w:rsidR="008349C0">
        <w:t xml:space="preserve"> </w:t>
      </w:r>
    </w:p>
    <w:p w14:paraId="46A76A90" w14:textId="77777777" w:rsidR="004C585C" w:rsidRPr="009F3A30" w:rsidRDefault="004C585C" w:rsidP="004C585C">
      <w:r w:rsidRPr="009F3A30">
        <w:t xml:space="preserve">Jellemző a közvetítő és az üzleti kapcsolat többi szereplője közötti elégtelen együttműködés, kommunikáció, amely befolyásolja a hatékonyságot, amely kockázatot növelő tényezőnek minősül. </w:t>
      </w:r>
      <w:r w:rsidR="00C91EB8" w:rsidRPr="009F3A30">
        <w:t>Továbbá, j</w:t>
      </w:r>
      <w:r w:rsidR="00176575" w:rsidRPr="009F3A30">
        <w:t>elen</w:t>
      </w:r>
      <w:r w:rsidRPr="009F3A30">
        <w:t xml:space="preserve"> szektor különösen "profitorientált" lehet a főként jutalékokon alapuló javadalmazási rendszere miatt</w:t>
      </w:r>
      <w:r w:rsidR="00176575" w:rsidRPr="009F3A30">
        <w:t>, amely</w:t>
      </w:r>
      <w:r w:rsidRPr="009F3A30">
        <w:t xml:space="preserve"> következtében sérülhet a </w:t>
      </w:r>
      <w:proofErr w:type="spellStart"/>
      <w:r w:rsidRPr="009F3A30">
        <w:t>pénzmosás</w:t>
      </w:r>
      <w:proofErr w:type="spellEnd"/>
      <w:r w:rsidRPr="009F3A30">
        <w:t xml:space="preserve"> elleni küzdelemnek való megfelelés.</w:t>
      </w:r>
    </w:p>
    <w:p w14:paraId="1FAFEF41" w14:textId="77777777" w:rsidR="00176575" w:rsidRPr="009F3A30" w:rsidRDefault="00176575" w:rsidP="00A07F4E">
      <w:pPr>
        <w:pStyle w:val="Listaszerbekezds"/>
        <w:numPr>
          <w:ilvl w:val="0"/>
          <w:numId w:val="45"/>
        </w:numPr>
        <w:ind w:left="851" w:hanging="284"/>
      </w:pPr>
      <w:r w:rsidRPr="009F3A30">
        <w:t xml:space="preserve">A </w:t>
      </w:r>
      <w:r w:rsidR="007E5925" w:rsidRPr="009F3A30">
        <w:t>pénzpiaci közvetítői</w:t>
      </w:r>
      <w:r w:rsidRPr="009F3A30">
        <w:t xml:space="preserve"> szektorban rejlő</w:t>
      </w:r>
      <w:r w:rsidR="00232F42" w:rsidRPr="009F3A30">
        <w:t>, határokon átnyúló ML/</w:t>
      </w:r>
      <w:proofErr w:type="spellStart"/>
      <w:r w:rsidR="00232F42" w:rsidRPr="009F3A30">
        <w:t>TF</w:t>
      </w:r>
      <w:proofErr w:type="spellEnd"/>
      <w:r w:rsidR="00232F42" w:rsidRPr="009F3A30">
        <w:t xml:space="preserve"> kockázatok</w:t>
      </w:r>
    </w:p>
    <w:p w14:paraId="3B7A5B64" w14:textId="77777777" w:rsidR="004C585C" w:rsidRPr="009F3A30" w:rsidRDefault="004C585C" w:rsidP="004C585C">
      <w:r w:rsidRPr="009F3A30">
        <w:t>A szektorra nem jellemző a külföldi érintettség, tipikusan magyar ügyfelekkel rendelkeznek a szektorhoz tarto</w:t>
      </w:r>
      <w:r w:rsidR="00232F42" w:rsidRPr="009F3A30">
        <w:t>zó közvetítők</w:t>
      </w:r>
      <w:r w:rsidRPr="009F3A30">
        <w:t xml:space="preserve">. </w:t>
      </w:r>
    </w:p>
    <w:p w14:paraId="6010EFCE" w14:textId="611BB808" w:rsidR="004C585C" w:rsidRPr="009F3A30" w:rsidRDefault="004C585C" w:rsidP="004C585C">
      <w:pPr>
        <w:rPr>
          <w:b/>
        </w:rPr>
      </w:pPr>
      <w:r w:rsidRPr="000222BD">
        <w:rPr>
          <w:b/>
        </w:rPr>
        <w:t>A</w:t>
      </w:r>
      <w:r w:rsidR="008349C0" w:rsidRPr="008349C0">
        <w:rPr>
          <w:b/>
        </w:rPr>
        <w:t>z MNB</w:t>
      </w:r>
      <w:r w:rsidRPr="009F3A30">
        <w:rPr>
          <w:b/>
        </w:rPr>
        <w:t xml:space="preserve"> értékelése alapján </w:t>
      </w:r>
      <w:r w:rsidR="004C5784" w:rsidRPr="009F3A30">
        <w:rPr>
          <w:b/>
        </w:rPr>
        <w:t xml:space="preserve">a </w:t>
      </w:r>
      <w:r w:rsidR="008F2DDC" w:rsidRPr="009F3A30">
        <w:rPr>
          <w:b/>
        </w:rPr>
        <w:t>pénzpiaci közvetítő</w:t>
      </w:r>
      <w:r w:rsidR="004C5784" w:rsidRPr="009F3A30">
        <w:rPr>
          <w:b/>
        </w:rPr>
        <w:t xml:space="preserve"> </w:t>
      </w:r>
      <w:r w:rsidRPr="009F3A30">
        <w:rPr>
          <w:b/>
        </w:rPr>
        <w:t>szektor Kevésbé jelentős inherens kockázati értékkel rendelkezik.</w:t>
      </w:r>
    </w:p>
    <w:tbl>
      <w:tblPr>
        <w:tblW w:w="3680" w:type="dxa"/>
        <w:jc w:val="center"/>
        <w:tblCellMar>
          <w:left w:w="70" w:type="dxa"/>
          <w:right w:w="70" w:type="dxa"/>
        </w:tblCellMar>
        <w:tblLook w:val="04A0" w:firstRow="1" w:lastRow="0" w:firstColumn="1" w:lastColumn="0" w:noHBand="0" w:noVBand="1"/>
      </w:tblPr>
      <w:tblGrid>
        <w:gridCol w:w="1780"/>
        <w:gridCol w:w="1900"/>
      </w:tblGrid>
      <w:tr w:rsidR="004C585C" w:rsidRPr="00A07F4E" w14:paraId="2450CA3C" w14:textId="77777777" w:rsidTr="009A6A66">
        <w:trPr>
          <w:trHeight w:val="300"/>
          <w:jc w:val="center"/>
        </w:trPr>
        <w:tc>
          <w:tcPr>
            <w:tcW w:w="1780" w:type="dxa"/>
            <w:tcBorders>
              <w:top w:val="nil"/>
              <w:left w:val="nil"/>
              <w:bottom w:val="nil"/>
              <w:right w:val="nil"/>
            </w:tcBorders>
            <w:shd w:val="clear" w:color="auto" w:fill="auto"/>
            <w:noWrap/>
            <w:vAlign w:val="center"/>
            <w:hideMark/>
          </w:tcPr>
          <w:p w14:paraId="04CCA1EF" w14:textId="77777777" w:rsidR="004C585C" w:rsidRPr="009F3A30" w:rsidRDefault="004C585C" w:rsidP="009A6A66">
            <w:pPr>
              <w:spacing w:after="0" w:line="240" w:lineRule="auto"/>
              <w:jc w:val="center"/>
              <w:rPr>
                <w:b/>
                <w:color w:val="000000"/>
              </w:rPr>
            </w:pPr>
            <w:r w:rsidRPr="009F3A30">
              <w:rPr>
                <w:b/>
                <w:color w:val="000000"/>
              </w:rPr>
              <w:t>Inherens kockázat:</w:t>
            </w:r>
            <w:r w:rsidRPr="009F3A30">
              <w:rPr>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96CF71C" w14:textId="77777777" w:rsidR="004C585C" w:rsidRPr="009F3A30" w:rsidRDefault="004C585C" w:rsidP="009A6A66">
            <w:pPr>
              <w:spacing w:after="0" w:line="240" w:lineRule="auto"/>
              <w:jc w:val="center"/>
              <w:rPr>
                <w:color w:val="000000"/>
                <w:sz w:val="18"/>
              </w:rPr>
            </w:pPr>
            <w:r w:rsidRPr="009F3A30">
              <w:rPr>
                <w:color w:val="000000"/>
                <w:sz w:val="18"/>
              </w:rPr>
              <w:t>Kevésbé jelentős</w:t>
            </w:r>
          </w:p>
        </w:tc>
      </w:tr>
    </w:tbl>
    <w:p w14:paraId="4A6B2A33" w14:textId="77777777" w:rsidR="004C585C" w:rsidRPr="009F3A30" w:rsidRDefault="004C585C" w:rsidP="004C585C"/>
    <w:p w14:paraId="0C3ECE88" w14:textId="77777777" w:rsidR="00822752" w:rsidRPr="00A07F4E" w:rsidRDefault="00822752" w:rsidP="00A07F4E">
      <w:pPr>
        <w:pStyle w:val="Cmsor3"/>
        <w:numPr>
          <w:ilvl w:val="0"/>
          <w:numId w:val="182"/>
        </w:numPr>
      </w:pPr>
      <w:bookmarkStart w:id="328" w:name="_Toc109906100"/>
      <w:r w:rsidRPr="00A07F4E">
        <w:t>Az ellenőrzések minősége, felügyeleti tevékenység, azonosított jogsértések</w:t>
      </w:r>
      <w:bookmarkEnd w:id="328"/>
    </w:p>
    <w:p w14:paraId="6085EF60" w14:textId="4812D41B" w:rsidR="00822752" w:rsidRPr="009F3A30" w:rsidRDefault="008349C0" w:rsidP="00822752">
      <w:r w:rsidRPr="000222BD">
        <w:t>Az MNB</w:t>
      </w:r>
      <w:r w:rsidR="00822752" w:rsidRPr="000222BD">
        <w:t xml:space="preserve"> a</w:t>
      </w:r>
      <w:r w:rsidR="00822752" w:rsidRPr="009F3A30">
        <w:t xml:space="preserve"> többes kiemelt közvetítő</w:t>
      </w:r>
      <w:r w:rsidR="00F1659B" w:rsidRPr="009F3A30">
        <w:t>k</w:t>
      </w:r>
      <w:r w:rsidR="00822752" w:rsidRPr="009F3A30">
        <w:t xml:space="preserve"> és alkusz</w:t>
      </w:r>
      <w:r w:rsidR="00F1659B" w:rsidRPr="009F3A30">
        <w:t xml:space="preserve">ok általi </w:t>
      </w:r>
      <w:r w:rsidR="00822752" w:rsidRPr="009F3A30">
        <w:t>ellenőrzések megfelelőségét és minőségét tekintve a</w:t>
      </w:r>
      <w:r w:rsidR="00E45387" w:rsidRPr="009F3A30">
        <w:t xml:space="preserve"> </w:t>
      </w:r>
      <w:r w:rsidR="009F14B0" w:rsidRPr="009F3A30">
        <w:t>pénzpiaci közvetítő</w:t>
      </w:r>
      <w:r w:rsidR="00E45387" w:rsidRPr="009F3A30">
        <w:t xml:space="preserve">k </w:t>
      </w:r>
      <w:r w:rsidR="00822752" w:rsidRPr="009F3A30">
        <w:t xml:space="preserve">egészére kiterjedő, az egyes üzleti kapcsolatokra alkalmazott kockázatértékelést minősíti gyengének. </w:t>
      </w:r>
      <w:r w:rsidR="00822752" w:rsidRPr="000222BD">
        <w:t>A</w:t>
      </w:r>
      <w:r w:rsidRPr="000222BD">
        <w:t>z MNB</w:t>
      </w:r>
      <w:r w:rsidR="00D8607F">
        <w:t xml:space="preserve"> </w:t>
      </w:r>
      <w:r w:rsidR="00822752" w:rsidRPr="009F3A30">
        <w:t>kockázatot az ügyfelek kockázatértékelésével, a gyanús tranzakciók jelentésével, valamint az oktatással és a tudatossággal kapcsolatban azonosított.</w:t>
      </w:r>
    </w:p>
    <w:p w14:paraId="0D3D2A04" w14:textId="084B942E" w:rsidR="00822752" w:rsidRPr="009F3A30" w:rsidRDefault="00822752" w:rsidP="00822752">
      <w:r w:rsidRPr="009F3A30">
        <w:t>A</w:t>
      </w:r>
      <w:r w:rsidR="00E45387" w:rsidRPr="009F3A30">
        <w:t xml:space="preserve"> </w:t>
      </w:r>
      <w:r w:rsidR="009F14B0" w:rsidRPr="009F3A30">
        <w:t>pénzpiaci közvetítő</w:t>
      </w:r>
      <w:r w:rsidR="00E45387" w:rsidRPr="009F3A30">
        <w:t xml:space="preserve">i </w:t>
      </w:r>
      <w:r w:rsidRPr="009F3A30">
        <w:t xml:space="preserve">tevékenységet </w:t>
      </w:r>
      <w:r w:rsidR="008349C0" w:rsidRPr="000222BD">
        <w:t>az MNB</w:t>
      </w:r>
      <w:r w:rsidRPr="008349C0">
        <w:t xml:space="preserve"> </w:t>
      </w:r>
      <w:r w:rsidRPr="009F3A30">
        <w:t xml:space="preserve">jellemzően folyamatos felügyelés keretében, illetve </w:t>
      </w:r>
      <w:proofErr w:type="spellStart"/>
      <w:r w:rsidRPr="009F3A30">
        <w:t>off</w:t>
      </w:r>
      <w:proofErr w:type="spellEnd"/>
      <w:r w:rsidRPr="009F3A30">
        <w:t xml:space="preserve">-site jellegű vizsgálatokkal ellenőrzi. </w:t>
      </w:r>
      <w:r w:rsidR="008349C0" w:rsidRPr="000222BD">
        <w:t>Az MNB</w:t>
      </w:r>
      <w:r w:rsidRPr="000222BD">
        <w:t xml:space="preserve"> </w:t>
      </w:r>
      <w:r w:rsidR="00E45387" w:rsidRPr="000222BD">
        <w:t>a</w:t>
      </w:r>
      <w:r w:rsidR="00E45387" w:rsidRPr="009F3A30">
        <w:t xml:space="preserve"> </w:t>
      </w:r>
      <w:r w:rsidR="007E5925" w:rsidRPr="009F3A30">
        <w:t>pénzpiaci közvetítői</w:t>
      </w:r>
      <w:r w:rsidR="00E45387" w:rsidRPr="009F3A30">
        <w:t xml:space="preserve"> </w:t>
      </w:r>
      <w:r w:rsidRPr="009F3A30">
        <w:t xml:space="preserve">szektort </w:t>
      </w:r>
      <w:r w:rsidR="007E5925" w:rsidRPr="009F3A30">
        <w:t>a közvetítők</w:t>
      </w:r>
      <w:r w:rsidR="00E45387" w:rsidRPr="009F3A30">
        <w:t xml:space="preserve"> </w:t>
      </w:r>
      <w:r w:rsidRPr="009F3A30">
        <w:t xml:space="preserve">ügyfeleitől, illetve társhatóságoktól érkező panaszok és sajtófigyelés során szerzett információk alapján felügyeli, felmerülő kockázati jelzés alapján ellenőrzi. </w:t>
      </w:r>
      <w:r w:rsidRPr="008349C0">
        <w:t>A</w:t>
      </w:r>
      <w:r w:rsidR="008349C0" w:rsidRPr="000222BD">
        <w:t>z MNB</w:t>
      </w:r>
      <w:r w:rsidRPr="00B36190">
        <w:t xml:space="preserve"> </w:t>
      </w:r>
      <w:r w:rsidRPr="000222BD">
        <w:t>a</w:t>
      </w:r>
      <w:r w:rsidRPr="009F3A30">
        <w:t xml:space="preserve"> szektort tekintve – a kockázatalapú megközelítésre, illetve a Kevésbé jelentős inherens kockázatra figyelemmel – csekély a rendelkezésre álló felügyeleti tapasztalata.  </w:t>
      </w:r>
    </w:p>
    <w:p w14:paraId="7E81A3C1" w14:textId="77777777" w:rsidR="00822752" w:rsidRPr="009F3A30" w:rsidRDefault="00822752" w:rsidP="00822752">
      <w:r w:rsidRPr="009F3A30">
        <w:t xml:space="preserve">Megjegyzendő, hogy </w:t>
      </w:r>
      <w:r w:rsidR="007E5925" w:rsidRPr="009F3A30">
        <w:t>a pénzpiaci közvetítői</w:t>
      </w:r>
      <w:r w:rsidR="00E45387" w:rsidRPr="009F3A30">
        <w:t xml:space="preserve"> </w:t>
      </w:r>
      <w:r w:rsidRPr="009F3A30">
        <w:t xml:space="preserve">szektor gyanús tranzakciókhoz kapcsolódó bejelentéseik száma a többi szektoréhoz viszonyítva alacsonyabb, azonban ez a Kevésbé jelentős inherens kockázati besorolásra tekintettel nem nevezhető szokatlannak, így kockázatot növelő tényezőnek. </w:t>
      </w:r>
    </w:p>
    <w:p w14:paraId="4E742E2E" w14:textId="1803D097" w:rsidR="00822752" w:rsidRPr="009F3A30" w:rsidRDefault="00822752" w:rsidP="00822752">
      <w:r w:rsidRPr="009F3A30">
        <w:lastRenderedPageBreak/>
        <w:t>Ez idáig a</w:t>
      </w:r>
      <w:r w:rsidR="008349C0" w:rsidRPr="000222BD">
        <w:t>z MNB</w:t>
      </w:r>
      <w:r w:rsidRPr="000222BD">
        <w:t>-nek</w:t>
      </w:r>
      <w:r w:rsidRPr="009F3A30">
        <w:t xml:space="preserve"> olyan kockázatot növelő tényező nem jutott a tudomására, amely hatással lenne az inherens kockázati tényezőre, annak eltérítését indokolná. </w:t>
      </w:r>
    </w:p>
    <w:p w14:paraId="5A1C7958" w14:textId="77777777" w:rsidR="004C585C" w:rsidRPr="00A07F4E" w:rsidRDefault="004C585C" w:rsidP="00A07F4E">
      <w:pPr>
        <w:pStyle w:val="Cmsor3"/>
        <w:numPr>
          <w:ilvl w:val="0"/>
          <w:numId w:val="182"/>
        </w:numPr>
      </w:pPr>
      <w:bookmarkStart w:id="329" w:name="_Toc109906101"/>
      <w:r w:rsidRPr="00A07F4E">
        <w:t>Maradványkockázat</w:t>
      </w:r>
      <w:bookmarkEnd w:id="329"/>
    </w:p>
    <w:p w14:paraId="11680E9F" w14:textId="149E7865" w:rsidR="004C585C" w:rsidRPr="009F3A30" w:rsidRDefault="004C585C" w:rsidP="004C585C">
      <w:r w:rsidRPr="008349C0">
        <w:t>A</w:t>
      </w:r>
      <w:r w:rsidR="008349C0" w:rsidRPr="008349C0">
        <w:t>z MNB</w:t>
      </w:r>
      <w:r w:rsidRPr="009F3A30">
        <w:t xml:space="preserve"> mérlegelve a szektornál részletezetteket a maradványkockázatot Kevésbé jelentősnek értékeli. Az inherens kockázati besorolás megegyezik a maradványkockázattal.</w:t>
      </w:r>
    </w:p>
    <w:tbl>
      <w:tblPr>
        <w:tblW w:w="3680" w:type="dxa"/>
        <w:jc w:val="center"/>
        <w:tblCellMar>
          <w:left w:w="70" w:type="dxa"/>
          <w:right w:w="70" w:type="dxa"/>
        </w:tblCellMar>
        <w:tblLook w:val="04A0" w:firstRow="1" w:lastRow="0" w:firstColumn="1" w:lastColumn="0" w:noHBand="0" w:noVBand="1"/>
      </w:tblPr>
      <w:tblGrid>
        <w:gridCol w:w="1871"/>
        <w:gridCol w:w="1900"/>
      </w:tblGrid>
      <w:tr w:rsidR="004C585C" w:rsidRPr="00A07F4E" w14:paraId="5CCA086D" w14:textId="77777777" w:rsidTr="009A6A66">
        <w:trPr>
          <w:trHeight w:val="300"/>
          <w:jc w:val="center"/>
        </w:trPr>
        <w:tc>
          <w:tcPr>
            <w:tcW w:w="1780" w:type="dxa"/>
            <w:tcBorders>
              <w:top w:val="nil"/>
              <w:left w:val="nil"/>
              <w:bottom w:val="nil"/>
              <w:right w:val="nil"/>
            </w:tcBorders>
            <w:shd w:val="clear" w:color="auto" w:fill="auto"/>
            <w:noWrap/>
            <w:vAlign w:val="center"/>
            <w:hideMark/>
          </w:tcPr>
          <w:p w14:paraId="6005A195" w14:textId="77777777" w:rsidR="004C585C" w:rsidRPr="009F3A30" w:rsidRDefault="004C585C" w:rsidP="009A6A66">
            <w:pPr>
              <w:spacing w:after="0" w:line="240" w:lineRule="auto"/>
              <w:jc w:val="center"/>
              <w:rPr>
                <w:b/>
                <w:color w:val="000000"/>
              </w:rPr>
            </w:pPr>
            <w:r w:rsidRPr="009F3A30">
              <w:rPr>
                <w:b/>
                <w:color w:val="000000"/>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14B755" w14:textId="77777777" w:rsidR="004C585C" w:rsidRPr="009F3A30" w:rsidRDefault="004C585C" w:rsidP="009A6A66">
            <w:pPr>
              <w:spacing w:after="0" w:line="240" w:lineRule="auto"/>
              <w:jc w:val="center"/>
              <w:rPr>
                <w:color w:val="000000"/>
                <w:sz w:val="18"/>
              </w:rPr>
            </w:pPr>
            <w:r w:rsidRPr="009F3A30">
              <w:rPr>
                <w:color w:val="000000"/>
                <w:sz w:val="18"/>
              </w:rPr>
              <w:t>Kevésbé jelentős</w:t>
            </w:r>
          </w:p>
        </w:tc>
      </w:tr>
    </w:tbl>
    <w:p w14:paraId="4DB2218D" w14:textId="37C88300" w:rsidR="00A846A3" w:rsidRPr="00A07F4E" w:rsidRDefault="00A846A3" w:rsidP="000222BD">
      <w:pPr>
        <w:pStyle w:val="Cmsor2"/>
      </w:pPr>
      <w:bookmarkStart w:id="330" w:name="_Toc109906102"/>
      <w:r w:rsidRPr="00A07F4E">
        <w:t>Pénzfeldolgozók</w:t>
      </w:r>
      <w:r w:rsidR="008349C0">
        <w:rPr>
          <w:rStyle w:val="Lbjegyzet-hivatkozs"/>
        </w:rPr>
        <w:footnoteReference w:id="35"/>
      </w:r>
      <w:bookmarkEnd w:id="330"/>
    </w:p>
    <w:p w14:paraId="45BE03E6" w14:textId="77777777" w:rsidR="00A846A3" w:rsidRPr="00A07F4E" w:rsidRDefault="00A846A3" w:rsidP="00A07F4E">
      <w:pPr>
        <w:pStyle w:val="Cmsor3"/>
        <w:numPr>
          <w:ilvl w:val="0"/>
          <w:numId w:val="190"/>
        </w:numPr>
      </w:pPr>
      <w:bookmarkStart w:id="331" w:name="_Toc109906103"/>
      <w:r w:rsidRPr="00A07F4E">
        <w:t>A szektor méretére, tevékenységi körére és összetettségére vonatkozó információk összesített formában</w:t>
      </w:r>
      <w:bookmarkEnd w:id="331"/>
    </w:p>
    <w:p w14:paraId="25A87B0E" w14:textId="75467445" w:rsidR="00A846A3" w:rsidRPr="009F3A30" w:rsidRDefault="00A846A3" w:rsidP="00517E22">
      <w:r w:rsidRPr="009F3A30">
        <w:t>A</w:t>
      </w:r>
      <w:r w:rsidR="00073881">
        <w:t xml:space="preserve">z </w:t>
      </w:r>
      <w:r w:rsidR="00073881" w:rsidRPr="00073881">
        <w:t>MNB</w:t>
      </w:r>
      <w:r w:rsidRPr="009F3A30">
        <w:t xml:space="preserve"> Magyarországon </w:t>
      </w:r>
      <w:proofErr w:type="spellStart"/>
      <w:r w:rsidRPr="009F3A30">
        <w:t>AML</w:t>
      </w:r>
      <w:proofErr w:type="spellEnd"/>
      <w:r w:rsidRPr="009F3A30">
        <w:t>/</w:t>
      </w:r>
      <w:proofErr w:type="spellStart"/>
      <w:r w:rsidRPr="009F3A30">
        <w:t>CFT</w:t>
      </w:r>
      <w:proofErr w:type="spellEnd"/>
      <w:r w:rsidRPr="009F3A30">
        <w:t xml:space="preserve"> felügyeletet </w:t>
      </w:r>
      <w:r w:rsidRPr="00FC37B3">
        <w:t xml:space="preserve">összesen </w:t>
      </w:r>
      <w:r w:rsidR="0097278F" w:rsidRPr="00FC37B3">
        <w:t>3</w:t>
      </w:r>
      <w:r w:rsidRPr="00FC37B3">
        <w:t xml:space="preserve"> és </w:t>
      </w:r>
      <w:r w:rsidR="0097278F" w:rsidRPr="00FC37B3">
        <w:t xml:space="preserve">5 </w:t>
      </w:r>
      <w:r w:rsidRPr="00FC37B3">
        <w:t>közötti</w:t>
      </w:r>
      <w:r w:rsidRPr="009F3A30">
        <w:t xml:space="preserve"> </w:t>
      </w:r>
      <w:r w:rsidR="00517E22" w:rsidRPr="009F3A30">
        <w:t>pén</w:t>
      </w:r>
      <w:r w:rsidR="006852EA" w:rsidRPr="009F3A30">
        <w:t>z</w:t>
      </w:r>
      <w:r w:rsidR="00517E22" w:rsidRPr="009F3A30">
        <w:t>feldolgozó</w:t>
      </w:r>
      <w:r w:rsidRPr="009F3A30">
        <w:t xml:space="preserve"> felett gyakorol.</w:t>
      </w:r>
      <w:r w:rsidR="008B4C9A" w:rsidRPr="009F3A30">
        <w:t xml:space="preserve"> A pénzfeldolgozási tevékenységhez, mint kiegészítő pénzügyi szolgáltatás üzletszerű végzéséhez </w:t>
      </w:r>
      <w:r w:rsidR="00073881">
        <w:t>az MNB</w:t>
      </w:r>
      <w:r w:rsidR="008B4C9A" w:rsidRPr="009F3A30">
        <w:t xml:space="preserve"> engedélye szükséges.</w:t>
      </w:r>
      <w:r w:rsidR="009A6A66" w:rsidRPr="009F3A30">
        <w:t xml:space="preserve"> </w:t>
      </w:r>
    </w:p>
    <w:p w14:paraId="4B857C29" w14:textId="77777777" w:rsidR="00A846A3" w:rsidRPr="00A07F4E" w:rsidRDefault="00A846A3" w:rsidP="00A07F4E">
      <w:pPr>
        <w:pStyle w:val="Cmsor3"/>
        <w:numPr>
          <w:ilvl w:val="0"/>
          <w:numId w:val="190"/>
        </w:numPr>
      </w:pPr>
      <w:bookmarkStart w:id="332" w:name="_Toc109906104"/>
      <w:r w:rsidRPr="00A07F4E">
        <w:t>Inherens kockázatértékelés</w:t>
      </w:r>
      <w:bookmarkEnd w:id="332"/>
    </w:p>
    <w:p w14:paraId="5AF913F3" w14:textId="77777777" w:rsidR="00A846A3" w:rsidRPr="009F3A30" w:rsidRDefault="00A846A3" w:rsidP="00A07F4E">
      <w:pPr>
        <w:pStyle w:val="Listaszerbekezds"/>
        <w:numPr>
          <w:ilvl w:val="1"/>
          <w:numId w:val="47"/>
        </w:numPr>
        <w:ind w:left="851" w:hanging="284"/>
      </w:pPr>
      <w:r w:rsidRPr="009F3A30">
        <w:t xml:space="preserve">A </w:t>
      </w:r>
      <w:r w:rsidR="0073446B" w:rsidRPr="009F3A30">
        <w:t>pénzfeldolgozói</w:t>
      </w:r>
      <w:r w:rsidRPr="009F3A30">
        <w:t xml:space="preserve"> szektorban rejlő ML/</w:t>
      </w:r>
      <w:proofErr w:type="spellStart"/>
      <w:r w:rsidRPr="009F3A30">
        <w:t>TF</w:t>
      </w:r>
      <w:proofErr w:type="spellEnd"/>
      <w:r w:rsidRPr="009F3A30">
        <w:t xml:space="preserve"> kockázati tényezők</w:t>
      </w:r>
    </w:p>
    <w:p w14:paraId="207F3010" w14:textId="2AE76AB6" w:rsidR="00A846A3" w:rsidRPr="009F3A30" w:rsidRDefault="00A846A3" w:rsidP="00A846A3">
      <w:r w:rsidRPr="000222BD">
        <w:t>A</w:t>
      </w:r>
      <w:r w:rsidR="00073881" w:rsidRPr="000222BD">
        <w:t>z MNB</w:t>
      </w:r>
      <w:r w:rsidRPr="006E35AE">
        <w:t xml:space="preserve"> az értékesítési csatornákban, a földrajzi kitettségben, az ügyfelekben, </w:t>
      </w:r>
      <w:r w:rsidR="009A6A66" w:rsidRPr="006E35AE">
        <w:t xml:space="preserve">illetve a </w:t>
      </w:r>
      <w:r w:rsidRPr="006E35AE">
        <w:t>termékekben/szolgáltatásokban rejlő kockázatokat Kevésbé jelentősnek értékelte.</w:t>
      </w:r>
    </w:p>
    <w:tbl>
      <w:tblPr>
        <w:tblStyle w:val="Rcsostblzat"/>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35"/>
      </w:tblGrid>
      <w:tr w:rsidR="00073881" w:rsidRPr="003168BA" w14:paraId="75431EDB" w14:textId="77777777" w:rsidTr="00300DCA">
        <w:trPr>
          <w:trHeight w:val="314"/>
        </w:trPr>
        <w:tc>
          <w:tcPr>
            <w:tcW w:w="3061" w:type="dxa"/>
          </w:tcPr>
          <w:p w14:paraId="5EEE89A7" w14:textId="77777777" w:rsidR="00073881" w:rsidRPr="00554E41" w:rsidRDefault="00073881"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 megnevezése</w:t>
            </w:r>
          </w:p>
        </w:tc>
        <w:tc>
          <w:tcPr>
            <w:tcW w:w="3035" w:type="dxa"/>
          </w:tcPr>
          <w:p w14:paraId="0023B77E" w14:textId="77777777" w:rsidR="00073881" w:rsidRPr="00554E41" w:rsidRDefault="00073881" w:rsidP="00300DCA">
            <w:pPr>
              <w:spacing w:after="0" w:line="240" w:lineRule="auto"/>
              <w:contextualSpacing w:val="0"/>
              <w:jc w:val="center"/>
              <w:rPr>
                <w:rFonts w:eastAsia="Times New Roman" w:cs="Times New Roman"/>
                <w:b/>
                <w:color w:val="000000"/>
                <w:sz w:val="18"/>
                <w:szCs w:val="18"/>
              </w:rPr>
            </w:pPr>
            <w:r w:rsidRPr="00554E41">
              <w:rPr>
                <w:rFonts w:eastAsia="Times New Roman" w:cs="Times New Roman"/>
                <w:b/>
                <w:color w:val="000000"/>
                <w:sz w:val="18"/>
                <w:szCs w:val="18"/>
              </w:rPr>
              <w:t>Kockázati érték</w:t>
            </w:r>
          </w:p>
        </w:tc>
      </w:tr>
      <w:tr w:rsidR="00073881" w:rsidRPr="003168BA" w14:paraId="6F3A6B6D" w14:textId="77777777" w:rsidTr="00CF11CD">
        <w:tc>
          <w:tcPr>
            <w:tcW w:w="3061" w:type="dxa"/>
            <w:shd w:val="clear" w:color="auto" w:fill="auto"/>
          </w:tcPr>
          <w:p w14:paraId="2B03BFB5" w14:textId="77777777" w:rsidR="00073881" w:rsidRPr="00554E41" w:rsidRDefault="00073881"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Termék/szolgáltatás</w:t>
            </w:r>
          </w:p>
        </w:tc>
        <w:tc>
          <w:tcPr>
            <w:tcW w:w="3035" w:type="dxa"/>
            <w:shd w:val="clear" w:color="auto" w:fill="92D050"/>
          </w:tcPr>
          <w:p w14:paraId="49DE4644" w14:textId="77777777" w:rsidR="00073881" w:rsidRPr="00554E41" w:rsidRDefault="00073881"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073881" w14:paraId="4DE73AB3" w14:textId="77777777" w:rsidTr="00CF11CD">
        <w:tc>
          <w:tcPr>
            <w:tcW w:w="3061" w:type="dxa"/>
            <w:shd w:val="clear" w:color="auto" w:fill="auto"/>
          </w:tcPr>
          <w:p w14:paraId="2F3834CD" w14:textId="77777777" w:rsidR="00073881" w:rsidRPr="00554E41" w:rsidRDefault="00073881"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Ügyfél</w:t>
            </w:r>
          </w:p>
        </w:tc>
        <w:tc>
          <w:tcPr>
            <w:tcW w:w="3035" w:type="dxa"/>
            <w:shd w:val="clear" w:color="auto" w:fill="92D050"/>
          </w:tcPr>
          <w:p w14:paraId="1A4E6E39" w14:textId="77777777" w:rsidR="00073881" w:rsidRPr="00554E41" w:rsidRDefault="00073881"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073881" w14:paraId="52223A28" w14:textId="77777777" w:rsidTr="00CF11CD">
        <w:trPr>
          <w:trHeight w:val="50"/>
        </w:trPr>
        <w:tc>
          <w:tcPr>
            <w:tcW w:w="3061" w:type="dxa"/>
            <w:shd w:val="clear" w:color="auto" w:fill="auto"/>
          </w:tcPr>
          <w:p w14:paraId="3AC3D57F" w14:textId="77777777" w:rsidR="00073881" w:rsidRPr="00554E41" w:rsidRDefault="00073881"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Földrajzi</w:t>
            </w:r>
          </w:p>
        </w:tc>
        <w:tc>
          <w:tcPr>
            <w:tcW w:w="3035" w:type="dxa"/>
            <w:shd w:val="clear" w:color="auto" w:fill="92D050"/>
          </w:tcPr>
          <w:p w14:paraId="05E23545" w14:textId="77777777" w:rsidR="00073881" w:rsidRPr="00554E41" w:rsidRDefault="00073881"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r w:rsidR="00073881" w14:paraId="06459E47" w14:textId="77777777" w:rsidTr="00CF11CD">
        <w:tc>
          <w:tcPr>
            <w:tcW w:w="3061" w:type="dxa"/>
            <w:shd w:val="clear" w:color="auto" w:fill="auto"/>
          </w:tcPr>
          <w:p w14:paraId="061E032D" w14:textId="77777777" w:rsidR="00073881" w:rsidRPr="00554E41" w:rsidRDefault="00073881" w:rsidP="00300DCA">
            <w:pPr>
              <w:spacing w:after="0" w:line="240" w:lineRule="auto"/>
              <w:contextualSpacing w:val="0"/>
              <w:jc w:val="center"/>
              <w:rPr>
                <w:rFonts w:eastAsia="Times New Roman" w:cs="Times New Roman"/>
                <w:color w:val="000000"/>
                <w:sz w:val="18"/>
                <w:szCs w:val="18"/>
              </w:rPr>
            </w:pPr>
            <w:r w:rsidRPr="00554E41">
              <w:rPr>
                <w:rFonts w:eastAsia="Times New Roman" w:cs="Times New Roman"/>
                <w:color w:val="000000"/>
                <w:sz w:val="18"/>
                <w:szCs w:val="18"/>
              </w:rPr>
              <w:t>Értékesítési csato</w:t>
            </w:r>
            <w:r>
              <w:rPr>
                <w:rFonts w:eastAsia="Times New Roman" w:cs="Times New Roman"/>
                <w:color w:val="000000"/>
                <w:sz w:val="18"/>
                <w:szCs w:val="18"/>
              </w:rPr>
              <w:t>r</w:t>
            </w:r>
            <w:r w:rsidRPr="00554E41">
              <w:rPr>
                <w:rFonts w:eastAsia="Times New Roman" w:cs="Times New Roman"/>
                <w:color w:val="000000"/>
                <w:sz w:val="18"/>
                <w:szCs w:val="18"/>
              </w:rPr>
              <w:t>na</w:t>
            </w:r>
          </w:p>
        </w:tc>
        <w:tc>
          <w:tcPr>
            <w:tcW w:w="3035" w:type="dxa"/>
            <w:shd w:val="clear" w:color="auto" w:fill="92D050"/>
          </w:tcPr>
          <w:p w14:paraId="486C8560" w14:textId="14FCF0CA" w:rsidR="00073881" w:rsidRPr="00554E41" w:rsidRDefault="00073881" w:rsidP="00300DCA">
            <w:pPr>
              <w:spacing w:after="0" w:line="240" w:lineRule="auto"/>
              <w:contextualSpacing w:val="0"/>
              <w:jc w:val="center"/>
              <w:rPr>
                <w:rFonts w:eastAsia="Times New Roman" w:cs="Times New Roman"/>
                <w:color w:val="000000"/>
                <w:sz w:val="18"/>
                <w:szCs w:val="18"/>
              </w:rPr>
            </w:pPr>
            <w:r>
              <w:rPr>
                <w:rFonts w:eastAsia="Times New Roman" w:cs="Times New Roman"/>
                <w:color w:val="000000"/>
                <w:sz w:val="18"/>
                <w:szCs w:val="18"/>
              </w:rPr>
              <w:t>Kevésbé jelentős</w:t>
            </w:r>
          </w:p>
        </w:tc>
      </w:tr>
    </w:tbl>
    <w:p w14:paraId="01FDE2AE" w14:textId="12324929" w:rsidR="00073881" w:rsidRPr="009F3A30" w:rsidRDefault="00073881" w:rsidP="00FC37B3">
      <w:pPr>
        <w:spacing w:before="120"/>
      </w:pPr>
      <w:r>
        <w:t>Kockázatcsökkentő tényező,</w:t>
      </w:r>
      <w:r w:rsidRPr="00073881">
        <w:t xml:space="preserve"> hogy a készpénz feldolgozási folyamat során a feldolgozott készpénzhez már nem köthető közvetlenül az ügyfél</w:t>
      </w:r>
      <w:r>
        <w:t>hez</w:t>
      </w:r>
      <w:r w:rsidRPr="00073881">
        <w:t xml:space="preserve">. A </w:t>
      </w:r>
      <w:r>
        <w:t>p</w:t>
      </w:r>
      <w:r w:rsidRPr="00073881">
        <w:t xml:space="preserve">énzfeldolgozók ugyanis jellemzően Magyarország területén működő hitelintézetek megbízásából járnak el, azaz szempontjukból a hitelintézet tekinthető ügyfélnek. Előfordul, hogy közvetlenül olyan személy a </w:t>
      </w:r>
      <w:r>
        <w:t>p</w:t>
      </w:r>
      <w:r w:rsidRPr="00073881">
        <w:t xml:space="preserve">énzfeldolgozó ügyfele, ahol a készpénz (jellemzően árukereskedelmi tevékenységhez kapcsolódóan) az ügyfél birtokába jut, azonban ezen esetek száma igen alacsony és ez esetben is inkább a pénzszállítási, mint a pénzfeldolgozási tevékenység során kerülhet a Pénzfeldolgozó birtokába olyan adat, tény, körülmény, ami </w:t>
      </w:r>
      <w:proofErr w:type="spellStart"/>
      <w:r w:rsidRPr="00073881">
        <w:t>pénzmosás</w:t>
      </w:r>
      <w:proofErr w:type="spellEnd"/>
      <w:r w:rsidRPr="00073881">
        <w:t xml:space="preserve"> gyanújára utalhat.</w:t>
      </w:r>
    </w:p>
    <w:p w14:paraId="5BDE09F7" w14:textId="6383DD5B" w:rsidR="00A846A3" w:rsidRPr="009F3A30" w:rsidRDefault="009A6A66" w:rsidP="00073881">
      <w:r w:rsidRPr="009F3A30">
        <w:t>Jelen szektor kevésbé van kitéve ML/</w:t>
      </w:r>
      <w:proofErr w:type="spellStart"/>
      <w:r w:rsidRPr="009F3A30">
        <w:t>TF</w:t>
      </w:r>
      <w:proofErr w:type="spellEnd"/>
      <w:r w:rsidRPr="009F3A30">
        <w:t xml:space="preserve"> kockázatoknak azonban jelen szektorra is általánosságban elmondható </w:t>
      </w:r>
      <w:r w:rsidR="00A846A3" w:rsidRPr="009F3A30">
        <w:t xml:space="preserve">az erőforrásalapú megközelítés jelenléte, illetve a kockázatalapú megközelítést segítő politikák, eljárások hiánya. </w:t>
      </w:r>
    </w:p>
    <w:p w14:paraId="1DBF3092" w14:textId="77777777" w:rsidR="00A846A3" w:rsidRPr="009F3A30" w:rsidRDefault="00A846A3" w:rsidP="00A07F4E">
      <w:pPr>
        <w:pStyle w:val="Listaszerbekezds"/>
        <w:numPr>
          <w:ilvl w:val="0"/>
          <w:numId w:val="45"/>
        </w:numPr>
        <w:ind w:left="851" w:hanging="284"/>
      </w:pPr>
      <w:r w:rsidRPr="009F3A30">
        <w:t xml:space="preserve">A </w:t>
      </w:r>
      <w:r w:rsidR="008F2DDC" w:rsidRPr="009F3A30">
        <w:t>pénzfeldolgozói</w:t>
      </w:r>
      <w:r w:rsidRPr="009F3A30">
        <w:t xml:space="preserve"> szektorban rejlő, határokon átnyúló ML/</w:t>
      </w:r>
      <w:proofErr w:type="spellStart"/>
      <w:r w:rsidRPr="009F3A30">
        <w:t>TF</w:t>
      </w:r>
      <w:proofErr w:type="spellEnd"/>
      <w:r w:rsidRPr="009F3A30">
        <w:t xml:space="preserve"> kockázatok</w:t>
      </w:r>
    </w:p>
    <w:p w14:paraId="4AB71AB1" w14:textId="180B7D42" w:rsidR="00A846A3" w:rsidRDefault="00A846A3" w:rsidP="00A846A3">
      <w:r w:rsidRPr="009F3A30">
        <w:t xml:space="preserve">A szektorra nem jellemző a külföldi érintettség, tipikusan magyar ügyfelekkel rendelkeznek a szektorhoz tartozó </w:t>
      </w:r>
      <w:r w:rsidR="009A6A66" w:rsidRPr="009F3A30">
        <w:t>pénzfeldolgozók</w:t>
      </w:r>
      <w:r w:rsidRPr="009F3A30">
        <w:t xml:space="preserve">. </w:t>
      </w:r>
    </w:p>
    <w:p w14:paraId="6D87E758" w14:textId="42CAF003" w:rsidR="00A846A3" w:rsidRPr="009F3A30" w:rsidRDefault="00A846A3" w:rsidP="00A846A3">
      <w:pPr>
        <w:rPr>
          <w:b/>
        </w:rPr>
      </w:pPr>
      <w:r w:rsidRPr="009F3A30">
        <w:rPr>
          <w:b/>
        </w:rPr>
        <w:t>A</w:t>
      </w:r>
      <w:r w:rsidR="00073881">
        <w:rPr>
          <w:b/>
        </w:rPr>
        <w:t>z MNB</w:t>
      </w:r>
      <w:r w:rsidRPr="009F3A30">
        <w:rPr>
          <w:b/>
        </w:rPr>
        <w:t xml:space="preserve"> értékelése alapján </w:t>
      </w:r>
      <w:r w:rsidR="009A6A66" w:rsidRPr="009F3A30">
        <w:rPr>
          <w:b/>
        </w:rPr>
        <w:t>a pénzfeldolgozó szektorban</w:t>
      </w:r>
      <w:r w:rsidRPr="009F3A30">
        <w:rPr>
          <w:b/>
        </w:rPr>
        <w:t xml:space="preserve"> Kevésbé jelentős inherens kockázati értékkel rendelkezik.</w:t>
      </w:r>
    </w:p>
    <w:tbl>
      <w:tblPr>
        <w:tblW w:w="3680" w:type="dxa"/>
        <w:jc w:val="center"/>
        <w:tblCellMar>
          <w:left w:w="70" w:type="dxa"/>
          <w:right w:w="70" w:type="dxa"/>
        </w:tblCellMar>
        <w:tblLook w:val="04A0" w:firstRow="1" w:lastRow="0" w:firstColumn="1" w:lastColumn="0" w:noHBand="0" w:noVBand="1"/>
      </w:tblPr>
      <w:tblGrid>
        <w:gridCol w:w="1780"/>
        <w:gridCol w:w="1900"/>
      </w:tblGrid>
      <w:tr w:rsidR="00A846A3" w:rsidRPr="00A07F4E" w14:paraId="1F0BFF8F" w14:textId="77777777" w:rsidTr="009A6A66">
        <w:trPr>
          <w:trHeight w:val="300"/>
          <w:jc w:val="center"/>
        </w:trPr>
        <w:tc>
          <w:tcPr>
            <w:tcW w:w="1780" w:type="dxa"/>
            <w:tcBorders>
              <w:top w:val="nil"/>
              <w:left w:val="nil"/>
              <w:bottom w:val="nil"/>
              <w:right w:val="nil"/>
            </w:tcBorders>
            <w:shd w:val="clear" w:color="auto" w:fill="auto"/>
            <w:noWrap/>
            <w:vAlign w:val="center"/>
            <w:hideMark/>
          </w:tcPr>
          <w:p w14:paraId="11C2FC27" w14:textId="77777777" w:rsidR="00A846A3" w:rsidRPr="009F3A30" w:rsidRDefault="00A846A3" w:rsidP="009A6A66">
            <w:pPr>
              <w:spacing w:after="0" w:line="240" w:lineRule="auto"/>
              <w:jc w:val="center"/>
              <w:rPr>
                <w:b/>
                <w:color w:val="000000"/>
              </w:rPr>
            </w:pPr>
            <w:r w:rsidRPr="009F3A30">
              <w:rPr>
                <w:b/>
                <w:color w:val="000000"/>
              </w:rPr>
              <w:t>Inherens kockázat:</w:t>
            </w:r>
            <w:r w:rsidRPr="009F3A30">
              <w:rPr>
                <w:color w:val="000000"/>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0502E47" w14:textId="77777777" w:rsidR="00A846A3" w:rsidRPr="009F3A30" w:rsidRDefault="00A846A3" w:rsidP="009A6A66">
            <w:pPr>
              <w:spacing w:after="0" w:line="240" w:lineRule="auto"/>
              <w:jc w:val="center"/>
              <w:rPr>
                <w:color w:val="000000"/>
                <w:sz w:val="18"/>
              </w:rPr>
            </w:pPr>
            <w:r w:rsidRPr="009F3A30">
              <w:rPr>
                <w:color w:val="000000"/>
                <w:sz w:val="18"/>
              </w:rPr>
              <w:t>Kevésbé jelentős</w:t>
            </w:r>
          </w:p>
        </w:tc>
      </w:tr>
    </w:tbl>
    <w:p w14:paraId="2A57D968" w14:textId="1EE1D99F" w:rsidR="00A846A3" w:rsidRDefault="00A846A3" w:rsidP="00A846A3"/>
    <w:p w14:paraId="596662AE" w14:textId="656778F5" w:rsidR="00C63813" w:rsidRDefault="00C63813" w:rsidP="00A846A3"/>
    <w:p w14:paraId="4D983D73" w14:textId="77777777" w:rsidR="00E57F87" w:rsidRDefault="00E57F87" w:rsidP="00A846A3"/>
    <w:p w14:paraId="7F0DC7BD" w14:textId="77777777" w:rsidR="00A846A3" w:rsidRPr="00A07F4E" w:rsidRDefault="00A846A3" w:rsidP="00A07F4E">
      <w:pPr>
        <w:pStyle w:val="Cmsor3"/>
        <w:numPr>
          <w:ilvl w:val="0"/>
          <w:numId w:val="190"/>
        </w:numPr>
      </w:pPr>
      <w:bookmarkStart w:id="333" w:name="_Toc106198738"/>
      <w:bookmarkStart w:id="334" w:name="_Toc106201933"/>
      <w:bookmarkStart w:id="335" w:name="_Toc106869676"/>
      <w:bookmarkStart w:id="336" w:name="_Toc107236541"/>
      <w:bookmarkStart w:id="337" w:name="_Toc107237449"/>
      <w:bookmarkStart w:id="338" w:name="_Toc107237779"/>
      <w:bookmarkStart w:id="339" w:name="_Toc106198739"/>
      <w:bookmarkStart w:id="340" w:name="_Toc106201934"/>
      <w:bookmarkStart w:id="341" w:name="_Toc106869677"/>
      <w:bookmarkStart w:id="342" w:name="_Toc107236542"/>
      <w:bookmarkStart w:id="343" w:name="_Toc107237450"/>
      <w:bookmarkStart w:id="344" w:name="_Toc107237780"/>
      <w:bookmarkStart w:id="345" w:name="_Toc106198740"/>
      <w:bookmarkStart w:id="346" w:name="_Toc106201935"/>
      <w:bookmarkStart w:id="347" w:name="_Toc106869678"/>
      <w:bookmarkStart w:id="348" w:name="_Toc107236543"/>
      <w:bookmarkStart w:id="349" w:name="_Toc107237451"/>
      <w:bookmarkStart w:id="350" w:name="_Toc107237781"/>
      <w:bookmarkStart w:id="351" w:name="_Toc10990610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A07F4E">
        <w:t>Az ellenőrzések minősége, felügyeleti tevékenység, azonosított jogsértések</w:t>
      </w:r>
      <w:bookmarkEnd w:id="351"/>
    </w:p>
    <w:p w14:paraId="5C6D8E90" w14:textId="3C87A6EC" w:rsidR="00A846A3" w:rsidRPr="009F3A30" w:rsidRDefault="00A846A3" w:rsidP="00A846A3">
      <w:r w:rsidRPr="009F3A30">
        <w:t xml:space="preserve">A </w:t>
      </w:r>
      <w:r w:rsidR="009A6A66" w:rsidRPr="009F3A30">
        <w:t>pénzfeldolgozói</w:t>
      </w:r>
      <w:r w:rsidRPr="009F3A30">
        <w:t xml:space="preserve"> tevékenységet </w:t>
      </w:r>
      <w:r w:rsidR="00DE7BF9" w:rsidRPr="00DE7BF9">
        <w:t xml:space="preserve">az MNB </w:t>
      </w:r>
      <w:r w:rsidRPr="009F3A30">
        <w:t xml:space="preserve">jellemzően folyamatos felügyelés keretében, illetve </w:t>
      </w:r>
      <w:proofErr w:type="spellStart"/>
      <w:r w:rsidRPr="009F3A30">
        <w:t>off</w:t>
      </w:r>
      <w:proofErr w:type="spellEnd"/>
      <w:r w:rsidRPr="009F3A30">
        <w:t xml:space="preserve">-site jellegű vizsgálatokkal ellenőrzi. </w:t>
      </w:r>
      <w:r w:rsidRPr="00DE7BF9">
        <w:t>A</w:t>
      </w:r>
      <w:r w:rsidR="00DE7BF9" w:rsidRPr="00DE7BF9">
        <w:t>z MNB</w:t>
      </w:r>
      <w:r w:rsidRPr="009F3A30">
        <w:t xml:space="preserve"> </w:t>
      </w:r>
      <w:r w:rsidR="009A6A66" w:rsidRPr="009F3A30">
        <w:t>folyamatos felügyelés keretében</w:t>
      </w:r>
      <w:r w:rsidR="00E16829" w:rsidRPr="009F3A30">
        <w:t>,</w:t>
      </w:r>
      <w:r w:rsidR="009A6A66" w:rsidRPr="009F3A30">
        <w:t xml:space="preserve"> a pénzfeldolgozók </w:t>
      </w:r>
      <w:r w:rsidRPr="009F3A30">
        <w:t>ügyfeleitől, illetve társhatóságoktól érkező panaszok és sajtófigyelés során szerzett információk alapján felügyeli, felmerülő kockázati jelzés alapján ellenőrzi</w:t>
      </w:r>
      <w:r w:rsidR="009A6A66" w:rsidRPr="009F3A30">
        <w:t xml:space="preserve"> a pénzfeldolgozókat</w:t>
      </w:r>
      <w:r w:rsidRPr="009F3A30">
        <w:t xml:space="preserve">. </w:t>
      </w:r>
      <w:r w:rsidRPr="000222BD">
        <w:t>A</w:t>
      </w:r>
      <w:r w:rsidR="00DE7BF9" w:rsidRPr="000222BD">
        <w:t>z MNB</w:t>
      </w:r>
      <w:r w:rsidRPr="000222BD">
        <w:t>-nek</w:t>
      </w:r>
      <w:r w:rsidRPr="009F3A30">
        <w:t xml:space="preserve"> a szektort tekintve – a kockázatalapú megközelítésre, illetve a Kevésbé jelentős inherens kockázatra figyelemmel – csekély a rendelkezésre álló felügyeleti tapasztalata.  </w:t>
      </w:r>
    </w:p>
    <w:p w14:paraId="7203202C" w14:textId="77777777" w:rsidR="00A846A3" w:rsidRPr="009F3A30" w:rsidRDefault="00A846A3" w:rsidP="00A846A3">
      <w:r w:rsidRPr="009F3A30">
        <w:t xml:space="preserve">Megjegyzendő, hogy a </w:t>
      </w:r>
      <w:r w:rsidR="00E16829" w:rsidRPr="009F3A30">
        <w:t xml:space="preserve">pénzfeldolgozók </w:t>
      </w:r>
      <w:r w:rsidRPr="009F3A30">
        <w:t xml:space="preserve">gyanús tranzakciókhoz kapcsolódó bejelentéseik száma a többi szektoréhoz viszonyítva alacsonyabb, azonban ez a Kevésbé jelentős inherens kockázati besorolásra tekintettel nem nevezhető szokatlannak, így kockázatot növelő tényezőnek. </w:t>
      </w:r>
    </w:p>
    <w:p w14:paraId="7CF62D78" w14:textId="3B1B8A12" w:rsidR="00A846A3" w:rsidRPr="009F3A30" w:rsidRDefault="00A846A3" w:rsidP="00A846A3">
      <w:r w:rsidRPr="009F3A30">
        <w:t xml:space="preserve">Ez idáig </w:t>
      </w:r>
      <w:r w:rsidRPr="000222BD">
        <w:t>a</w:t>
      </w:r>
      <w:r w:rsidR="00DE7BF9" w:rsidRPr="000222BD">
        <w:t>z MNB</w:t>
      </w:r>
      <w:r w:rsidRPr="000222BD">
        <w:t>-nek</w:t>
      </w:r>
      <w:r w:rsidRPr="009F3A30">
        <w:t xml:space="preserve"> olyan kockázatot növelő tényező nem jutott a tudomására, amely hatással lenne az inherens kockázati tényezőre, annak eltérítését indokolná. </w:t>
      </w:r>
    </w:p>
    <w:p w14:paraId="0B3B4D9B" w14:textId="77777777" w:rsidR="00A846A3" w:rsidRPr="00A07F4E" w:rsidRDefault="00A846A3" w:rsidP="00A07F4E">
      <w:pPr>
        <w:pStyle w:val="Cmsor3"/>
        <w:numPr>
          <w:ilvl w:val="0"/>
          <w:numId w:val="190"/>
        </w:numPr>
      </w:pPr>
      <w:bookmarkStart w:id="352" w:name="_Toc109906106"/>
      <w:r w:rsidRPr="00A07F4E">
        <w:t>Maradványkockázat</w:t>
      </w:r>
      <w:bookmarkEnd w:id="352"/>
    </w:p>
    <w:p w14:paraId="7D1CF445" w14:textId="703BC5BB" w:rsidR="00A846A3" w:rsidRPr="00A07F4E" w:rsidRDefault="00A846A3" w:rsidP="00A846A3">
      <w:r w:rsidRPr="009F3A30">
        <w:t>A</w:t>
      </w:r>
      <w:r w:rsidR="00DE7BF9" w:rsidRPr="00DE7BF9">
        <w:t>z MNB</w:t>
      </w:r>
      <w:r w:rsidRPr="009F3A30">
        <w:t xml:space="preserve"> mérlegelve a szektornál részletezetteket a maradványkockázatot a maradványkockázatot Kevésbé jelentősnek értékeli. Az inherens kockázati besorolás megegyezik a maradványkockázattal.</w:t>
      </w:r>
    </w:p>
    <w:tbl>
      <w:tblPr>
        <w:tblW w:w="3680" w:type="dxa"/>
        <w:jc w:val="center"/>
        <w:tblCellMar>
          <w:left w:w="70" w:type="dxa"/>
          <w:right w:w="70" w:type="dxa"/>
        </w:tblCellMar>
        <w:tblLook w:val="04A0" w:firstRow="1" w:lastRow="0" w:firstColumn="1" w:lastColumn="0" w:noHBand="0" w:noVBand="1"/>
      </w:tblPr>
      <w:tblGrid>
        <w:gridCol w:w="1871"/>
        <w:gridCol w:w="1900"/>
      </w:tblGrid>
      <w:tr w:rsidR="00A846A3" w:rsidRPr="00A07F4E" w14:paraId="5163E9C4" w14:textId="77777777" w:rsidTr="009A6A66">
        <w:trPr>
          <w:trHeight w:val="300"/>
          <w:jc w:val="center"/>
        </w:trPr>
        <w:tc>
          <w:tcPr>
            <w:tcW w:w="1780" w:type="dxa"/>
            <w:tcBorders>
              <w:top w:val="nil"/>
              <w:left w:val="nil"/>
              <w:bottom w:val="nil"/>
              <w:right w:val="nil"/>
            </w:tcBorders>
            <w:shd w:val="clear" w:color="auto" w:fill="auto"/>
            <w:noWrap/>
            <w:vAlign w:val="center"/>
            <w:hideMark/>
          </w:tcPr>
          <w:p w14:paraId="5AD3E769" w14:textId="77777777" w:rsidR="00A846A3" w:rsidRPr="00A07F4E" w:rsidRDefault="00A846A3" w:rsidP="009A6A66">
            <w:pPr>
              <w:spacing w:after="0" w:line="240" w:lineRule="auto"/>
              <w:jc w:val="center"/>
              <w:rPr>
                <w:rFonts w:eastAsia="Times New Roman" w:cs="Calibri"/>
                <w:b/>
                <w:bCs/>
                <w:color w:val="000000"/>
              </w:rPr>
            </w:pPr>
            <w:r w:rsidRPr="00A07F4E">
              <w:rPr>
                <w:rFonts w:eastAsia="Times New Roman" w:cs="Calibri"/>
                <w:b/>
                <w:bCs/>
                <w:color w:val="000000"/>
              </w:rPr>
              <w:t>Maradványkockázat:</w:t>
            </w:r>
          </w:p>
        </w:tc>
        <w:tc>
          <w:tcPr>
            <w:tcW w:w="1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619A2A" w14:textId="77777777" w:rsidR="00A846A3" w:rsidRPr="00A07F4E" w:rsidRDefault="00A846A3" w:rsidP="009A6A66">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r>
    </w:tbl>
    <w:p w14:paraId="4EB4A701" w14:textId="77777777" w:rsidR="003E0C15" w:rsidRDefault="003E0C15">
      <w:pPr>
        <w:spacing w:after="0" w:line="240" w:lineRule="auto"/>
        <w:jc w:val="left"/>
        <w:rPr>
          <w:rFonts w:eastAsiaTheme="majorEastAsia" w:cstheme="majorBidi"/>
          <w:b/>
          <w:bCs/>
          <w:caps/>
          <w:color w:val="0C2148" w:themeColor="text2"/>
          <w:sz w:val="24"/>
          <w:szCs w:val="42"/>
        </w:rPr>
      </w:pPr>
      <w:r>
        <w:br w:type="page"/>
      </w:r>
    </w:p>
    <w:p w14:paraId="096EAC6B" w14:textId="77777777" w:rsidR="00204846" w:rsidRPr="00A07F4E" w:rsidRDefault="00054169" w:rsidP="000222BD">
      <w:pPr>
        <w:pStyle w:val="Cmsor1"/>
      </w:pPr>
      <w:bookmarkStart w:id="353" w:name="_Toc109906107"/>
      <w:r w:rsidRPr="00A07F4E">
        <w:lastRenderedPageBreak/>
        <w:t>ÖSSZEGZÉS</w:t>
      </w:r>
      <w:bookmarkEnd w:id="353"/>
    </w:p>
    <w:p w14:paraId="75D94A54" w14:textId="05843401" w:rsidR="00F17319" w:rsidRPr="00A07F4E" w:rsidRDefault="00C2093E" w:rsidP="00F17319">
      <w:r>
        <w:t>Jelen kockázatértékelés 3. pontjában részletezett kockázatértékelés ere</w:t>
      </w:r>
      <w:r w:rsidR="003275DB">
        <w:t>d</w:t>
      </w:r>
      <w:r>
        <w:t>ményét, a</w:t>
      </w:r>
      <w:r w:rsidRPr="00A07F4E">
        <w:t xml:space="preserve"> </w:t>
      </w:r>
      <w:r w:rsidR="00EE2BEE" w:rsidRPr="00A07F4E">
        <w:t>szektorok</w:t>
      </w:r>
      <w:r w:rsidR="00FC37B3">
        <w:t xml:space="preserve">, </w:t>
      </w:r>
      <w:r w:rsidR="00F433A6">
        <w:t xml:space="preserve">az </w:t>
      </w:r>
      <w:r w:rsidR="00EE2BEE" w:rsidRPr="00A07F4E">
        <w:t>alszektorok</w:t>
      </w:r>
      <w:r w:rsidR="00FC37B3">
        <w:t xml:space="preserve"> és az </w:t>
      </w:r>
      <w:proofErr w:type="spellStart"/>
      <w:r w:rsidR="00FC37B3">
        <w:t>al</w:t>
      </w:r>
      <w:proofErr w:type="spellEnd"/>
      <w:r w:rsidR="00FC37B3">
        <w:t>-alszektorok</w:t>
      </w:r>
      <w:r w:rsidR="00EE2BEE" w:rsidRPr="00A07F4E">
        <w:t xml:space="preserve"> inherens</w:t>
      </w:r>
      <w:r w:rsidR="005B257B">
        <w:t>-</w:t>
      </w:r>
      <w:r w:rsidR="00EE2BEE" w:rsidRPr="00A07F4E">
        <w:t xml:space="preserve"> és maradványkockázatát </w:t>
      </w:r>
      <w:r w:rsidR="005B257B">
        <w:t xml:space="preserve">az alábbi táblázat </w:t>
      </w:r>
      <w:r w:rsidR="00D1049B">
        <w:t>szemlélteti</w:t>
      </w:r>
      <w:r w:rsidR="00BF0E9D">
        <w:t>.</w:t>
      </w:r>
    </w:p>
    <w:tbl>
      <w:tblPr>
        <w:tblW w:w="9634" w:type="dxa"/>
        <w:tblCellMar>
          <w:left w:w="70" w:type="dxa"/>
          <w:right w:w="70" w:type="dxa"/>
        </w:tblCellMar>
        <w:tblLook w:val="04A0" w:firstRow="1" w:lastRow="0" w:firstColumn="1" w:lastColumn="0" w:noHBand="0" w:noVBand="1"/>
      </w:tblPr>
      <w:tblGrid>
        <w:gridCol w:w="5524"/>
        <w:gridCol w:w="1984"/>
        <w:gridCol w:w="2126"/>
      </w:tblGrid>
      <w:tr w:rsidR="0027702B" w:rsidRPr="00A07F4E" w14:paraId="5F4DDAB2" w14:textId="77777777" w:rsidTr="00A07F4E">
        <w:trPr>
          <w:trHeight w:val="284"/>
        </w:trPr>
        <w:tc>
          <w:tcPr>
            <w:tcW w:w="5524" w:type="dxa"/>
            <w:tcBorders>
              <w:top w:val="single" w:sz="4" w:space="0" w:color="auto"/>
              <w:left w:val="single" w:sz="4" w:space="0" w:color="auto"/>
              <w:bottom w:val="single" w:sz="4" w:space="0" w:color="auto"/>
              <w:right w:val="nil"/>
            </w:tcBorders>
            <w:shd w:val="clear" w:color="auto" w:fill="E7E6E6" w:themeFill="background2"/>
            <w:noWrap/>
            <w:vAlign w:val="center"/>
            <w:hideMark/>
          </w:tcPr>
          <w:p w14:paraId="2C0560F8" w14:textId="741A1950" w:rsidR="0027702B" w:rsidRPr="00A07F4E" w:rsidRDefault="0027702B" w:rsidP="0027702B">
            <w:pPr>
              <w:spacing w:after="0" w:line="240" w:lineRule="auto"/>
              <w:jc w:val="center"/>
              <w:rPr>
                <w:rFonts w:eastAsia="Times New Roman" w:cs="Calibri"/>
                <w:b/>
                <w:bCs/>
                <w:color w:val="000000"/>
                <w:sz w:val="18"/>
                <w:szCs w:val="18"/>
              </w:rPr>
            </w:pPr>
            <w:bookmarkStart w:id="354" w:name="_Hlk108533675"/>
            <w:r w:rsidRPr="00A07F4E">
              <w:rPr>
                <w:rFonts w:eastAsia="Times New Roman" w:cs="Calibri"/>
                <w:b/>
                <w:bCs/>
                <w:color w:val="000000"/>
                <w:sz w:val="18"/>
                <w:szCs w:val="18"/>
              </w:rPr>
              <w:t>Szektor/alszektor</w:t>
            </w:r>
            <w:r w:rsidR="003D1452">
              <w:rPr>
                <w:rFonts w:eastAsia="Times New Roman" w:cs="Calibri"/>
                <w:b/>
                <w:bCs/>
                <w:color w:val="000000"/>
                <w:sz w:val="18"/>
                <w:szCs w:val="18"/>
              </w:rPr>
              <w:t>/</w:t>
            </w:r>
            <w:proofErr w:type="spellStart"/>
            <w:r w:rsidR="003D1452">
              <w:rPr>
                <w:rFonts w:eastAsia="Times New Roman" w:cs="Calibri"/>
                <w:b/>
                <w:bCs/>
                <w:color w:val="000000"/>
                <w:sz w:val="18"/>
                <w:szCs w:val="18"/>
              </w:rPr>
              <w:t>al</w:t>
            </w:r>
            <w:proofErr w:type="spellEnd"/>
            <w:r w:rsidR="003D1452">
              <w:rPr>
                <w:rFonts w:eastAsia="Times New Roman" w:cs="Calibri"/>
                <w:b/>
                <w:bCs/>
                <w:color w:val="000000"/>
                <w:sz w:val="18"/>
                <w:szCs w:val="18"/>
              </w:rPr>
              <w:t>-alszektor</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565C5A9" w14:textId="77777777" w:rsidR="0027702B" w:rsidRPr="00A07F4E" w:rsidRDefault="0027702B" w:rsidP="0041629D">
            <w:pPr>
              <w:spacing w:after="0" w:line="240" w:lineRule="auto"/>
              <w:jc w:val="center"/>
              <w:rPr>
                <w:rFonts w:eastAsia="Times New Roman" w:cs="Calibri"/>
                <w:b/>
                <w:bCs/>
                <w:color w:val="000000"/>
                <w:sz w:val="18"/>
                <w:szCs w:val="18"/>
              </w:rPr>
            </w:pPr>
            <w:r w:rsidRPr="00A07F4E">
              <w:rPr>
                <w:rFonts w:eastAsia="Times New Roman" w:cs="Calibri"/>
                <w:b/>
                <w:bCs/>
                <w:color w:val="000000"/>
                <w:sz w:val="18"/>
                <w:szCs w:val="18"/>
              </w:rPr>
              <w:t>Inherens kockázat</w:t>
            </w:r>
          </w:p>
        </w:tc>
        <w:tc>
          <w:tcPr>
            <w:tcW w:w="212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C5CCDBF" w14:textId="77777777" w:rsidR="0027702B" w:rsidRPr="00A07F4E" w:rsidRDefault="0027702B" w:rsidP="00097DA8">
            <w:pPr>
              <w:spacing w:after="0" w:line="240" w:lineRule="auto"/>
              <w:jc w:val="center"/>
              <w:rPr>
                <w:rFonts w:eastAsia="Times New Roman" w:cs="Calibri"/>
                <w:b/>
                <w:bCs/>
                <w:color w:val="000000"/>
                <w:sz w:val="18"/>
                <w:szCs w:val="18"/>
              </w:rPr>
            </w:pPr>
            <w:r w:rsidRPr="00A07F4E">
              <w:rPr>
                <w:rFonts w:eastAsia="Times New Roman" w:cs="Calibri"/>
                <w:b/>
                <w:bCs/>
                <w:color w:val="000000"/>
                <w:sz w:val="18"/>
                <w:szCs w:val="18"/>
              </w:rPr>
              <w:t>Maradványkockázat</w:t>
            </w:r>
          </w:p>
        </w:tc>
      </w:tr>
      <w:tr w:rsidR="0027702B" w:rsidRPr="00A07F4E" w14:paraId="7E643C2E"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8CBD55A" w14:textId="77777777" w:rsidR="0027702B" w:rsidRPr="00A07F4E" w:rsidRDefault="0027702B" w:rsidP="0027702B">
            <w:pPr>
              <w:spacing w:after="0" w:line="240" w:lineRule="auto"/>
              <w:jc w:val="left"/>
              <w:rPr>
                <w:rFonts w:eastAsia="Times New Roman" w:cs="Calibri"/>
                <w:color w:val="000000"/>
                <w:sz w:val="18"/>
                <w:szCs w:val="18"/>
              </w:rPr>
            </w:pPr>
            <w:r w:rsidRPr="00A07F4E">
              <w:rPr>
                <w:rFonts w:eastAsia="Times New Roman" w:cs="Calibri"/>
                <w:color w:val="000000"/>
                <w:sz w:val="18"/>
                <w:szCs w:val="18"/>
              </w:rPr>
              <w:t xml:space="preserve">1. Hitelintézetek </w:t>
            </w:r>
          </w:p>
        </w:tc>
        <w:tc>
          <w:tcPr>
            <w:tcW w:w="1984" w:type="dxa"/>
            <w:tcBorders>
              <w:top w:val="nil"/>
              <w:left w:val="nil"/>
              <w:bottom w:val="single" w:sz="4" w:space="0" w:color="auto"/>
              <w:right w:val="single" w:sz="4" w:space="0" w:color="auto"/>
            </w:tcBorders>
            <w:shd w:val="clear" w:color="000000" w:fill="FF0000"/>
            <w:noWrap/>
            <w:vAlign w:val="center"/>
            <w:hideMark/>
          </w:tcPr>
          <w:p w14:paraId="4EC4ACBE" w14:textId="77777777" w:rsidR="0027702B" w:rsidRPr="00A07F4E" w:rsidRDefault="0027702B" w:rsidP="00A07F4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Nagyon jelentős</w:t>
            </w:r>
          </w:p>
        </w:tc>
        <w:tc>
          <w:tcPr>
            <w:tcW w:w="2126" w:type="dxa"/>
            <w:tcBorders>
              <w:top w:val="nil"/>
              <w:left w:val="nil"/>
              <w:bottom w:val="single" w:sz="4" w:space="0" w:color="auto"/>
              <w:right w:val="single" w:sz="4" w:space="0" w:color="auto"/>
            </w:tcBorders>
            <w:shd w:val="clear" w:color="000000" w:fill="FF0000"/>
            <w:noWrap/>
            <w:vAlign w:val="center"/>
            <w:hideMark/>
          </w:tcPr>
          <w:p w14:paraId="6A23E710" w14:textId="77777777" w:rsidR="0027702B" w:rsidRPr="00A07F4E" w:rsidRDefault="0027702B" w:rsidP="00A07F4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Nagyon jelentős</w:t>
            </w:r>
          </w:p>
        </w:tc>
      </w:tr>
      <w:tr w:rsidR="0027702B" w:rsidRPr="00A07F4E" w14:paraId="40FF97A5"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1653DB9" w14:textId="77777777" w:rsidR="0027702B" w:rsidRPr="00A07F4E" w:rsidRDefault="0027702B" w:rsidP="0027702B">
            <w:pPr>
              <w:spacing w:after="0" w:line="240" w:lineRule="auto"/>
              <w:ind w:firstLineChars="100" w:firstLine="180"/>
              <w:jc w:val="left"/>
              <w:rPr>
                <w:rFonts w:eastAsia="Times New Roman" w:cs="Calibri"/>
                <w:color w:val="000000"/>
                <w:sz w:val="18"/>
                <w:szCs w:val="18"/>
              </w:rPr>
            </w:pPr>
            <w:r w:rsidRPr="00A07F4E">
              <w:rPr>
                <w:rFonts w:eastAsia="Times New Roman" w:cs="Calibri"/>
                <w:color w:val="000000"/>
                <w:sz w:val="18"/>
                <w:szCs w:val="18"/>
              </w:rPr>
              <w:t xml:space="preserve"> - Szakosított hitelintézet</w:t>
            </w:r>
          </w:p>
        </w:tc>
        <w:tc>
          <w:tcPr>
            <w:tcW w:w="1984" w:type="dxa"/>
            <w:tcBorders>
              <w:top w:val="nil"/>
              <w:left w:val="nil"/>
              <w:bottom w:val="single" w:sz="4" w:space="0" w:color="auto"/>
              <w:right w:val="single" w:sz="4" w:space="0" w:color="auto"/>
            </w:tcBorders>
            <w:shd w:val="clear" w:color="000000" w:fill="FFC000"/>
            <w:noWrap/>
            <w:vAlign w:val="center"/>
            <w:hideMark/>
          </w:tcPr>
          <w:p w14:paraId="23FD86B3" w14:textId="77777777" w:rsidR="0027702B" w:rsidRPr="00A07F4E" w:rsidRDefault="0027702B" w:rsidP="00A07F4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Jelentős</w:t>
            </w:r>
          </w:p>
        </w:tc>
        <w:tc>
          <w:tcPr>
            <w:tcW w:w="2126" w:type="dxa"/>
            <w:tcBorders>
              <w:top w:val="nil"/>
              <w:left w:val="nil"/>
              <w:bottom w:val="single" w:sz="4" w:space="0" w:color="auto"/>
              <w:right w:val="single" w:sz="4" w:space="0" w:color="auto"/>
            </w:tcBorders>
            <w:shd w:val="clear" w:color="000000" w:fill="FFC000"/>
            <w:noWrap/>
            <w:vAlign w:val="center"/>
            <w:hideMark/>
          </w:tcPr>
          <w:p w14:paraId="5025461D" w14:textId="77777777" w:rsidR="0027702B" w:rsidRPr="00A07F4E" w:rsidRDefault="0027702B" w:rsidP="00A07F4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Jelentős</w:t>
            </w:r>
          </w:p>
        </w:tc>
      </w:tr>
      <w:tr w:rsidR="00EA0DCE" w:rsidRPr="00A07F4E" w14:paraId="06D438E1" w14:textId="77777777" w:rsidTr="000222BD">
        <w:trPr>
          <w:trHeight w:val="284"/>
        </w:trPr>
        <w:tc>
          <w:tcPr>
            <w:tcW w:w="5524" w:type="dxa"/>
            <w:tcBorders>
              <w:top w:val="nil"/>
              <w:left w:val="single" w:sz="4" w:space="0" w:color="auto"/>
              <w:bottom w:val="single" w:sz="4" w:space="0" w:color="auto"/>
              <w:right w:val="single" w:sz="4" w:space="0" w:color="auto"/>
            </w:tcBorders>
            <w:shd w:val="clear" w:color="auto" w:fill="auto"/>
            <w:noWrap/>
            <w:vAlign w:val="center"/>
          </w:tcPr>
          <w:p w14:paraId="5A730DDF" w14:textId="326E0EAA" w:rsidR="00EA0DCE" w:rsidRPr="000222BD" w:rsidRDefault="001E7577" w:rsidP="000222BD">
            <w:pPr>
              <w:pStyle w:val="Listaszerbekezds"/>
              <w:numPr>
                <w:ilvl w:val="0"/>
                <w:numId w:val="242"/>
              </w:numPr>
              <w:spacing w:after="0" w:line="240" w:lineRule="auto"/>
              <w:ind w:left="351" w:hanging="142"/>
              <w:jc w:val="left"/>
              <w:rPr>
                <w:rFonts w:eastAsia="Times New Roman" w:cs="Calibri"/>
                <w:color w:val="000000"/>
                <w:sz w:val="18"/>
                <w:szCs w:val="18"/>
              </w:rPr>
            </w:pPr>
            <w:proofErr w:type="spellStart"/>
            <w:r>
              <w:rPr>
                <w:rFonts w:eastAsia="Times New Roman" w:cs="Calibri"/>
                <w:color w:val="000000"/>
                <w:sz w:val="18"/>
                <w:szCs w:val="18"/>
              </w:rPr>
              <w:t>AML</w:t>
            </w:r>
            <w:proofErr w:type="spellEnd"/>
            <w:r>
              <w:rPr>
                <w:rFonts w:eastAsia="Times New Roman" w:cs="Calibri"/>
                <w:color w:val="000000"/>
                <w:sz w:val="18"/>
                <w:szCs w:val="18"/>
              </w:rPr>
              <w:t>/</w:t>
            </w:r>
            <w:proofErr w:type="spellStart"/>
            <w:r>
              <w:rPr>
                <w:rFonts w:eastAsia="Times New Roman" w:cs="Calibri"/>
                <w:color w:val="000000"/>
                <w:sz w:val="18"/>
                <w:szCs w:val="18"/>
              </w:rPr>
              <w:t>CFT</w:t>
            </w:r>
            <w:proofErr w:type="spellEnd"/>
            <w:r w:rsidRPr="000222BD">
              <w:rPr>
                <w:rFonts w:eastAsia="Times New Roman" w:cs="Calibri"/>
                <w:color w:val="000000"/>
                <w:sz w:val="18"/>
                <w:szCs w:val="18"/>
              </w:rPr>
              <w:t xml:space="preserve"> </w:t>
            </w:r>
            <w:r w:rsidR="00EA0DCE" w:rsidRPr="000222BD">
              <w:rPr>
                <w:rFonts w:eastAsia="Times New Roman" w:cs="Calibri"/>
                <w:color w:val="000000"/>
                <w:sz w:val="18"/>
                <w:szCs w:val="18"/>
              </w:rPr>
              <w:t>kollégium mellett működő külföldi érintettségű csoporttag</w:t>
            </w:r>
          </w:p>
        </w:tc>
        <w:tc>
          <w:tcPr>
            <w:tcW w:w="1984" w:type="dxa"/>
            <w:tcBorders>
              <w:top w:val="nil"/>
              <w:left w:val="nil"/>
              <w:bottom w:val="single" w:sz="4" w:space="0" w:color="auto"/>
              <w:right w:val="single" w:sz="4" w:space="0" w:color="auto"/>
            </w:tcBorders>
            <w:shd w:val="clear" w:color="auto" w:fill="FFC000"/>
            <w:noWrap/>
            <w:vAlign w:val="center"/>
          </w:tcPr>
          <w:p w14:paraId="0AE80E6A" w14:textId="21CF0EC8"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Jelentős</w:t>
            </w:r>
          </w:p>
        </w:tc>
        <w:tc>
          <w:tcPr>
            <w:tcW w:w="2126" w:type="dxa"/>
            <w:tcBorders>
              <w:top w:val="nil"/>
              <w:left w:val="nil"/>
              <w:bottom w:val="single" w:sz="4" w:space="0" w:color="auto"/>
              <w:right w:val="single" w:sz="4" w:space="0" w:color="auto"/>
            </w:tcBorders>
            <w:shd w:val="clear" w:color="auto" w:fill="FFC000"/>
            <w:noWrap/>
            <w:vAlign w:val="center"/>
          </w:tcPr>
          <w:p w14:paraId="037DA94A" w14:textId="1F76DDC8"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Jelentős</w:t>
            </w:r>
          </w:p>
        </w:tc>
      </w:tr>
      <w:tr w:rsidR="00EA0DCE" w:rsidRPr="00A07F4E" w14:paraId="3F4EE2C1" w14:textId="77777777" w:rsidTr="00FE0763">
        <w:trPr>
          <w:trHeight w:val="284"/>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5D6A6C8" w14:textId="77777777" w:rsidR="00EA0DCE" w:rsidRPr="00354557" w:rsidRDefault="00EA0DCE" w:rsidP="00EA0DCE">
            <w:pPr>
              <w:spacing w:after="0" w:line="240" w:lineRule="auto"/>
              <w:jc w:val="left"/>
              <w:rPr>
                <w:rFonts w:eastAsia="Times New Roman" w:cs="Calibri"/>
                <w:color w:val="000000"/>
                <w:sz w:val="18"/>
                <w:szCs w:val="18"/>
              </w:rPr>
            </w:pPr>
            <w:r w:rsidRPr="00354557">
              <w:rPr>
                <w:rFonts w:eastAsia="Times New Roman" w:cs="Calibri"/>
                <w:color w:val="000000"/>
                <w:sz w:val="18"/>
                <w:szCs w:val="18"/>
              </w:rPr>
              <w:t>2. Pénzforgalmi intézmények</w:t>
            </w:r>
          </w:p>
        </w:tc>
        <w:tc>
          <w:tcPr>
            <w:tcW w:w="1984" w:type="dxa"/>
            <w:tcBorders>
              <w:top w:val="nil"/>
              <w:left w:val="nil"/>
              <w:bottom w:val="single" w:sz="4" w:space="0" w:color="auto"/>
              <w:right w:val="single" w:sz="4" w:space="0" w:color="auto"/>
            </w:tcBorders>
            <w:shd w:val="clear" w:color="auto" w:fill="FFC000"/>
            <w:noWrap/>
            <w:vAlign w:val="center"/>
            <w:hideMark/>
          </w:tcPr>
          <w:p w14:paraId="06C914BC" w14:textId="3CF28833" w:rsidR="00EA0DCE" w:rsidRPr="00A07F4E" w:rsidRDefault="00FE0763" w:rsidP="00EA0DCE">
            <w:pPr>
              <w:spacing w:after="0" w:line="240" w:lineRule="auto"/>
              <w:jc w:val="center"/>
              <w:rPr>
                <w:rFonts w:eastAsia="Times New Roman" w:cs="Calibri"/>
                <w:color w:val="000000"/>
                <w:sz w:val="18"/>
                <w:szCs w:val="18"/>
              </w:rPr>
            </w:pPr>
            <w:r>
              <w:rPr>
                <w:rFonts w:eastAsia="Times New Roman" w:cs="Calibri"/>
                <w:color w:val="000000"/>
                <w:sz w:val="18"/>
                <w:szCs w:val="18"/>
              </w:rPr>
              <w:t>Jelentős</w:t>
            </w:r>
          </w:p>
        </w:tc>
        <w:tc>
          <w:tcPr>
            <w:tcW w:w="2126" w:type="dxa"/>
            <w:tcBorders>
              <w:top w:val="nil"/>
              <w:left w:val="nil"/>
              <w:bottom w:val="single" w:sz="4" w:space="0" w:color="auto"/>
              <w:right w:val="single" w:sz="4" w:space="0" w:color="auto"/>
            </w:tcBorders>
            <w:shd w:val="clear" w:color="auto" w:fill="FFC000"/>
            <w:noWrap/>
            <w:vAlign w:val="center"/>
            <w:hideMark/>
          </w:tcPr>
          <w:p w14:paraId="6B2D2E1C" w14:textId="776AE3FD" w:rsidR="00EA0DCE" w:rsidRPr="00A07F4E" w:rsidRDefault="00FE0763" w:rsidP="00EA0DCE">
            <w:pPr>
              <w:spacing w:after="0" w:line="240" w:lineRule="auto"/>
              <w:jc w:val="center"/>
              <w:rPr>
                <w:rFonts w:eastAsia="Times New Roman" w:cs="Calibri"/>
                <w:color w:val="000000"/>
                <w:sz w:val="18"/>
                <w:szCs w:val="18"/>
              </w:rPr>
            </w:pPr>
            <w:r>
              <w:rPr>
                <w:rFonts w:eastAsia="Times New Roman" w:cs="Calibri"/>
                <w:color w:val="000000"/>
                <w:sz w:val="18"/>
                <w:szCs w:val="18"/>
              </w:rPr>
              <w:t>Jelentős</w:t>
            </w:r>
          </w:p>
        </w:tc>
      </w:tr>
      <w:tr w:rsidR="00EA0DCE" w:rsidRPr="00A07F4E" w14:paraId="5A1F8C66" w14:textId="77777777" w:rsidTr="00354557">
        <w:trPr>
          <w:trHeight w:val="284"/>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05DE63F" w14:textId="2B1DC4FC" w:rsidR="00EA0DCE" w:rsidRPr="00354557" w:rsidRDefault="00EA0DCE" w:rsidP="00EA0DCE">
            <w:pPr>
              <w:spacing w:after="0" w:line="240" w:lineRule="auto"/>
              <w:ind w:firstLineChars="100" w:firstLine="180"/>
              <w:jc w:val="left"/>
              <w:rPr>
                <w:rFonts w:eastAsia="Times New Roman" w:cs="Calibri"/>
                <w:color w:val="000000"/>
                <w:sz w:val="18"/>
                <w:szCs w:val="18"/>
              </w:rPr>
            </w:pPr>
            <w:r w:rsidRPr="00354557">
              <w:rPr>
                <w:rFonts w:eastAsia="Times New Roman" w:cs="Calibri"/>
                <w:color w:val="000000"/>
                <w:sz w:val="18"/>
                <w:szCs w:val="18"/>
              </w:rPr>
              <w:t xml:space="preserve"> </w:t>
            </w:r>
            <w:r w:rsidRPr="00335F33">
              <w:rPr>
                <w:rFonts w:eastAsia="Times New Roman" w:cs="Calibri"/>
                <w:color w:val="000000"/>
                <w:sz w:val="18"/>
                <w:szCs w:val="18"/>
              </w:rPr>
              <w:t xml:space="preserve">- </w:t>
            </w:r>
            <w:r w:rsidR="00354557" w:rsidRPr="00354557">
              <w:rPr>
                <w:rFonts w:eastAsia="Times New Roman" w:cs="Calibri"/>
                <w:color w:val="000000"/>
                <w:sz w:val="18"/>
                <w:szCs w:val="18"/>
              </w:rPr>
              <w:t>Fizetési számla vezetés tevékenységet nem végző pénzforgalmi intézmény</w:t>
            </w:r>
            <w:r w:rsidR="00E60E2F">
              <w:rPr>
                <w:rFonts w:eastAsia="Times New Roman" w:cs="Calibri"/>
                <w:color w:val="000000"/>
                <w:sz w:val="18"/>
                <w:szCs w:val="18"/>
              </w:rPr>
              <w:t xml:space="preserve"> </w:t>
            </w:r>
          </w:p>
        </w:tc>
        <w:tc>
          <w:tcPr>
            <w:tcW w:w="1984" w:type="dxa"/>
            <w:tcBorders>
              <w:top w:val="nil"/>
              <w:left w:val="nil"/>
              <w:bottom w:val="single" w:sz="4" w:space="0" w:color="auto"/>
              <w:right w:val="single" w:sz="4" w:space="0" w:color="auto"/>
            </w:tcBorders>
            <w:shd w:val="clear" w:color="auto" w:fill="FFFF00"/>
            <w:noWrap/>
            <w:vAlign w:val="center"/>
            <w:hideMark/>
          </w:tcPr>
          <w:p w14:paraId="3D56DA73" w14:textId="2E647140" w:rsidR="00EA0DCE" w:rsidRPr="00A07F4E" w:rsidRDefault="00354557" w:rsidP="00EA0DCE">
            <w:pPr>
              <w:spacing w:after="0" w:line="240" w:lineRule="auto"/>
              <w:jc w:val="center"/>
              <w:rPr>
                <w:rFonts w:eastAsia="Times New Roman" w:cs="Calibri"/>
                <w:color w:val="000000"/>
                <w:sz w:val="18"/>
                <w:szCs w:val="18"/>
              </w:rPr>
            </w:pPr>
            <w:r>
              <w:rPr>
                <w:rFonts w:eastAsia="Times New Roman" w:cs="Calibri"/>
                <w:color w:val="000000"/>
                <w:sz w:val="18"/>
                <w:szCs w:val="18"/>
              </w:rPr>
              <w:t>Mérsékelten jelentős</w:t>
            </w:r>
          </w:p>
        </w:tc>
        <w:tc>
          <w:tcPr>
            <w:tcW w:w="2126" w:type="dxa"/>
            <w:tcBorders>
              <w:top w:val="nil"/>
              <w:left w:val="nil"/>
              <w:bottom w:val="single" w:sz="4" w:space="0" w:color="auto"/>
              <w:right w:val="single" w:sz="4" w:space="0" w:color="auto"/>
            </w:tcBorders>
            <w:shd w:val="clear" w:color="auto" w:fill="FFFF00"/>
            <w:noWrap/>
            <w:vAlign w:val="center"/>
            <w:hideMark/>
          </w:tcPr>
          <w:p w14:paraId="48074644" w14:textId="5ADEB4B3" w:rsidR="00EA0DCE" w:rsidRPr="00A07F4E" w:rsidRDefault="00354557" w:rsidP="00EA0DCE">
            <w:pPr>
              <w:spacing w:after="0" w:line="240" w:lineRule="auto"/>
              <w:jc w:val="center"/>
              <w:rPr>
                <w:rFonts w:eastAsia="Times New Roman" w:cs="Calibri"/>
                <w:color w:val="000000"/>
                <w:sz w:val="18"/>
                <w:szCs w:val="18"/>
              </w:rPr>
            </w:pPr>
            <w:r>
              <w:rPr>
                <w:rFonts w:eastAsia="Times New Roman" w:cs="Calibri"/>
                <w:color w:val="000000"/>
                <w:sz w:val="18"/>
                <w:szCs w:val="18"/>
              </w:rPr>
              <w:t>Mérsékelten jelentős</w:t>
            </w:r>
          </w:p>
        </w:tc>
      </w:tr>
      <w:tr w:rsidR="00427896" w:rsidRPr="00A07F4E" w14:paraId="2F520B35" w14:textId="77777777" w:rsidTr="00FC37B3">
        <w:trPr>
          <w:trHeight w:val="284"/>
        </w:trPr>
        <w:tc>
          <w:tcPr>
            <w:tcW w:w="5524" w:type="dxa"/>
            <w:tcBorders>
              <w:top w:val="nil"/>
              <w:left w:val="single" w:sz="4" w:space="0" w:color="auto"/>
              <w:bottom w:val="single" w:sz="4" w:space="0" w:color="auto"/>
              <w:right w:val="single" w:sz="4" w:space="0" w:color="auto"/>
            </w:tcBorders>
            <w:shd w:val="clear" w:color="auto" w:fill="auto"/>
            <w:noWrap/>
            <w:vAlign w:val="center"/>
          </w:tcPr>
          <w:p w14:paraId="74ADC909" w14:textId="43354E79" w:rsidR="00427896" w:rsidRPr="00427896" w:rsidRDefault="00D83744" w:rsidP="00FC37B3">
            <w:pPr>
              <w:pStyle w:val="Listaszerbekezds"/>
              <w:numPr>
                <w:ilvl w:val="0"/>
                <w:numId w:val="241"/>
              </w:numPr>
              <w:spacing w:after="0" w:line="240" w:lineRule="auto"/>
              <w:ind w:left="1059" w:hanging="141"/>
              <w:jc w:val="left"/>
              <w:rPr>
                <w:rFonts w:eastAsia="Times New Roman" w:cs="Calibri"/>
                <w:color w:val="000000"/>
                <w:sz w:val="18"/>
                <w:szCs w:val="18"/>
              </w:rPr>
            </w:pPr>
            <w:r w:rsidRPr="000222BD">
              <w:rPr>
                <w:rFonts w:eastAsia="Times New Roman" w:cs="Calibri"/>
                <w:color w:val="000000"/>
                <w:sz w:val="18"/>
                <w:szCs w:val="18"/>
              </w:rPr>
              <w:t xml:space="preserve">Fizetés-kezdeményezési szolgáltatók </w:t>
            </w:r>
            <w:r>
              <w:rPr>
                <w:rFonts w:eastAsia="Times New Roman" w:cs="Calibri"/>
                <w:color w:val="000000"/>
                <w:sz w:val="18"/>
                <w:szCs w:val="18"/>
              </w:rPr>
              <w:t>(</w:t>
            </w:r>
            <w:proofErr w:type="spellStart"/>
            <w:r>
              <w:rPr>
                <w:rFonts w:eastAsia="Times New Roman" w:cs="Calibri"/>
                <w:color w:val="000000"/>
                <w:sz w:val="18"/>
                <w:szCs w:val="18"/>
              </w:rPr>
              <w:t>PISP</w:t>
            </w:r>
            <w:proofErr w:type="spellEnd"/>
            <w:r>
              <w:rPr>
                <w:rFonts w:eastAsia="Times New Roman" w:cs="Calibri"/>
                <w:color w:val="000000"/>
                <w:sz w:val="18"/>
                <w:szCs w:val="18"/>
              </w:rPr>
              <w:t>)</w:t>
            </w:r>
          </w:p>
        </w:tc>
        <w:tc>
          <w:tcPr>
            <w:tcW w:w="1984" w:type="dxa"/>
            <w:tcBorders>
              <w:top w:val="nil"/>
              <w:left w:val="nil"/>
              <w:bottom w:val="single" w:sz="4" w:space="0" w:color="auto"/>
              <w:right w:val="single" w:sz="4" w:space="0" w:color="auto"/>
            </w:tcBorders>
            <w:shd w:val="clear" w:color="auto" w:fill="FFFF00"/>
            <w:noWrap/>
            <w:vAlign w:val="center"/>
          </w:tcPr>
          <w:p w14:paraId="4A064453" w14:textId="6F105311" w:rsidR="00427896" w:rsidRDefault="00D83744" w:rsidP="00EA0DCE">
            <w:pPr>
              <w:spacing w:after="0" w:line="240" w:lineRule="auto"/>
              <w:jc w:val="center"/>
              <w:rPr>
                <w:rFonts w:eastAsia="Times New Roman" w:cs="Calibri"/>
                <w:color w:val="000000"/>
                <w:sz w:val="18"/>
                <w:szCs w:val="18"/>
              </w:rPr>
            </w:pPr>
            <w:r>
              <w:rPr>
                <w:rFonts w:eastAsia="Times New Roman" w:cs="Calibri"/>
                <w:color w:val="000000"/>
                <w:sz w:val="18"/>
                <w:szCs w:val="18"/>
              </w:rPr>
              <w:t>Mérsékelten j</w:t>
            </w:r>
            <w:r w:rsidR="00427896">
              <w:rPr>
                <w:rFonts w:eastAsia="Times New Roman" w:cs="Calibri"/>
                <w:color w:val="000000"/>
                <w:sz w:val="18"/>
                <w:szCs w:val="18"/>
              </w:rPr>
              <w:t>elentős</w:t>
            </w:r>
          </w:p>
        </w:tc>
        <w:tc>
          <w:tcPr>
            <w:tcW w:w="2126" w:type="dxa"/>
            <w:tcBorders>
              <w:top w:val="nil"/>
              <w:left w:val="nil"/>
              <w:bottom w:val="single" w:sz="4" w:space="0" w:color="auto"/>
              <w:right w:val="single" w:sz="4" w:space="0" w:color="auto"/>
            </w:tcBorders>
            <w:shd w:val="clear" w:color="auto" w:fill="FFFF00"/>
            <w:noWrap/>
            <w:vAlign w:val="center"/>
          </w:tcPr>
          <w:p w14:paraId="6D77FDD7" w14:textId="604FAE95" w:rsidR="00427896" w:rsidRDefault="00D83744" w:rsidP="00EA0DCE">
            <w:pPr>
              <w:spacing w:after="0" w:line="240" w:lineRule="auto"/>
              <w:jc w:val="center"/>
              <w:rPr>
                <w:rFonts w:eastAsia="Times New Roman" w:cs="Calibri"/>
                <w:color w:val="000000"/>
                <w:sz w:val="18"/>
                <w:szCs w:val="18"/>
              </w:rPr>
            </w:pPr>
            <w:r>
              <w:rPr>
                <w:rFonts w:eastAsia="Times New Roman" w:cs="Calibri"/>
                <w:color w:val="000000"/>
                <w:sz w:val="18"/>
                <w:szCs w:val="18"/>
              </w:rPr>
              <w:t xml:space="preserve">Mérsékelten jelentős </w:t>
            </w:r>
          </w:p>
        </w:tc>
      </w:tr>
      <w:tr w:rsidR="00EA0DCE" w:rsidRPr="00A07F4E" w14:paraId="18E495F7" w14:textId="77777777" w:rsidTr="00FC37B3">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59FBE6" w14:textId="6BE96A42" w:rsidR="00EA0DCE" w:rsidRPr="00FC37B3" w:rsidRDefault="00D83744" w:rsidP="00FC37B3">
            <w:pPr>
              <w:pStyle w:val="Listaszerbekezds"/>
              <w:numPr>
                <w:ilvl w:val="0"/>
                <w:numId w:val="241"/>
              </w:numPr>
              <w:spacing w:after="0" w:line="240" w:lineRule="auto"/>
              <w:ind w:left="1059" w:hanging="141"/>
              <w:jc w:val="left"/>
              <w:rPr>
                <w:rFonts w:eastAsia="Times New Roman" w:cs="Calibri"/>
                <w:color w:val="000000"/>
                <w:sz w:val="18"/>
                <w:szCs w:val="18"/>
              </w:rPr>
            </w:pPr>
            <w:r w:rsidRPr="00290280">
              <w:rPr>
                <w:rFonts w:eastAsia="Times New Roman" w:cs="Calibri"/>
                <w:color w:val="000000"/>
                <w:sz w:val="18"/>
                <w:szCs w:val="18"/>
              </w:rPr>
              <w:t xml:space="preserve">Számlainformációs szolgáltatók </w:t>
            </w:r>
            <w:r w:rsidRPr="00A07F4E">
              <w:rPr>
                <w:rFonts w:eastAsia="Times New Roman" w:cs="Calibri"/>
                <w:color w:val="000000"/>
                <w:sz w:val="18"/>
                <w:szCs w:val="18"/>
              </w:rPr>
              <w:t>(</w:t>
            </w:r>
            <w:proofErr w:type="spellStart"/>
            <w:r w:rsidRPr="00A07F4E">
              <w:rPr>
                <w:rFonts w:eastAsia="Times New Roman" w:cs="Calibri"/>
                <w:color w:val="000000"/>
                <w:sz w:val="18"/>
                <w:szCs w:val="18"/>
              </w:rPr>
              <w:t>AISP</w:t>
            </w:r>
            <w:proofErr w:type="spellEnd"/>
            <w:r w:rsidRPr="00A07F4E">
              <w:rPr>
                <w:rFonts w:eastAsia="Times New Roman" w:cs="Calibri"/>
                <w:color w:val="000000"/>
                <w:sz w:val="18"/>
                <w:szCs w:val="18"/>
              </w:rPr>
              <w:t xml:space="preserve">) </w:t>
            </w:r>
          </w:p>
        </w:tc>
        <w:tc>
          <w:tcPr>
            <w:tcW w:w="1984" w:type="dxa"/>
            <w:tcBorders>
              <w:top w:val="nil"/>
              <w:left w:val="nil"/>
              <w:bottom w:val="single" w:sz="4" w:space="0" w:color="auto"/>
              <w:right w:val="single" w:sz="4" w:space="0" w:color="auto"/>
            </w:tcBorders>
            <w:shd w:val="clear" w:color="auto" w:fill="92D050"/>
            <w:noWrap/>
            <w:vAlign w:val="center"/>
            <w:hideMark/>
          </w:tcPr>
          <w:p w14:paraId="22216E0A" w14:textId="749E67E6" w:rsidR="00EA0DCE" w:rsidRPr="00A07F4E" w:rsidRDefault="00D83744" w:rsidP="00EA0DCE">
            <w:pPr>
              <w:spacing w:after="0" w:line="240" w:lineRule="auto"/>
              <w:jc w:val="center"/>
              <w:rPr>
                <w:rFonts w:eastAsia="Times New Roman" w:cs="Calibri"/>
                <w:color w:val="000000"/>
                <w:sz w:val="18"/>
                <w:szCs w:val="18"/>
              </w:rPr>
            </w:pPr>
            <w:r>
              <w:rPr>
                <w:rFonts w:eastAsia="Times New Roman" w:cs="Calibri"/>
                <w:color w:val="000000"/>
                <w:sz w:val="18"/>
                <w:szCs w:val="18"/>
              </w:rPr>
              <w:t xml:space="preserve">Kevésbé </w:t>
            </w:r>
            <w:r w:rsidR="009145FA">
              <w:rPr>
                <w:rFonts w:eastAsia="Times New Roman" w:cs="Calibri"/>
                <w:color w:val="000000"/>
                <w:sz w:val="18"/>
                <w:szCs w:val="18"/>
              </w:rPr>
              <w:t>jelentős</w:t>
            </w:r>
          </w:p>
        </w:tc>
        <w:tc>
          <w:tcPr>
            <w:tcW w:w="2126" w:type="dxa"/>
            <w:tcBorders>
              <w:top w:val="nil"/>
              <w:left w:val="nil"/>
              <w:bottom w:val="single" w:sz="4" w:space="0" w:color="auto"/>
              <w:right w:val="single" w:sz="4" w:space="0" w:color="auto"/>
            </w:tcBorders>
            <w:shd w:val="clear" w:color="auto" w:fill="92D050"/>
            <w:noWrap/>
            <w:vAlign w:val="center"/>
            <w:hideMark/>
          </w:tcPr>
          <w:p w14:paraId="7787340C" w14:textId="7C04E18E" w:rsidR="00EA0DCE" w:rsidRPr="00A07F4E" w:rsidRDefault="00D83744" w:rsidP="00EA0DCE">
            <w:pPr>
              <w:spacing w:after="0" w:line="240" w:lineRule="auto"/>
              <w:jc w:val="center"/>
              <w:rPr>
                <w:rFonts w:eastAsia="Times New Roman" w:cs="Calibri"/>
                <w:color w:val="000000"/>
                <w:sz w:val="18"/>
                <w:szCs w:val="18"/>
              </w:rPr>
            </w:pPr>
            <w:r>
              <w:rPr>
                <w:rFonts w:eastAsia="Times New Roman" w:cs="Calibri"/>
                <w:color w:val="000000"/>
                <w:sz w:val="18"/>
                <w:szCs w:val="18"/>
              </w:rPr>
              <w:t xml:space="preserve">Kevésbé </w:t>
            </w:r>
            <w:r w:rsidR="009145FA">
              <w:rPr>
                <w:rFonts w:eastAsia="Times New Roman" w:cs="Calibri"/>
                <w:color w:val="000000"/>
                <w:sz w:val="18"/>
                <w:szCs w:val="18"/>
              </w:rPr>
              <w:t>jelentős</w:t>
            </w:r>
          </w:p>
        </w:tc>
      </w:tr>
      <w:tr w:rsidR="00EA0DCE" w:rsidRPr="00A07F4E" w14:paraId="1414A4C3" w14:textId="77777777" w:rsidTr="00A07F4E">
        <w:tblPrEx>
          <w:jc w:val="center"/>
        </w:tblPrEx>
        <w:trPr>
          <w:trHeight w:val="284"/>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CE6289" w14:textId="77777777" w:rsidR="00EA0DCE" w:rsidRPr="00A07F4E" w:rsidRDefault="00EA0DCE" w:rsidP="00EA0DCE">
            <w:pPr>
              <w:spacing w:after="0" w:line="240" w:lineRule="auto"/>
              <w:jc w:val="left"/>
              <w:rPr>
                <w:rFonts w:eastAsia="Times New Roman" w:cs="Calibri"/>
                <w:color w:val="000000"/>
                <w:sz w:val="18"/>
                <w:szCs w:val="18"/>
              </w:rPr>
            </w:pPr>
            <w:r w:rsidRPr="00AE715C">
              <w:rPr>
                <w:rFonts w:eastAsia="Times New Roman" w:cs="Calibri"/>
                <w:color w:val="000000"/>
                <w:sz w:val="18"/>
                <w:szCs w:val="18"/>
              </w:rPr>
              <w:t>3. Elektronikuspénz-kibocsátó szolgáltatók</w:t>
            </w:r>
          </w:p>
        </w:tc>
        <w:tc>
          <w:tcPr>
            <w:tcW w:w="1984" w:type="dxa"/>
            <w:tcBorders>
              <w:top w:val="nil"/>
              <w:left w:val="nil"/>
              <w:bottom w:val="single" w:sz="4" w:space="0" w:color="auto"/>
              <w:right w:val="single" w:sz="4" w:space="0" w:color="auto"/>
            </w:tcBorders>
            <w:shd w:val="clear" w:color="000000" w:fill="FFFF00"/>
            <w:noWrap/>
            <w:vAlign w:val="center"/>
            <w:hideMark/>
          </w:tcPr>
          <w:p w14:paraId="36A6CF7A"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c>
          <w:tcPr>
            <w:tcW w:w="2126" w:type="dxa"/>
            <w:tcBorders>
              <w:top w:val="nil"/>
              <w:left w:val="nil"/>
              <w:bottom w:val="single" w:sz="4" w:space="0" w:color="auto"/>
              <w:right w:val="single" w:sz="4" w:space="0" w:color="auto"/>
            </w:tcBorders>
            <w:shd w:val="clear" w:color="000000" w:fill="FFFF00"/>
            <w:noWrap/>
            <w:vAlign w:val="center"/>
            <w:hideMark/>
          </w:tcPr>
          <w:p w14:paraId="38724D84"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r w:rsidR="00EA0DCE" w:rsidRPr="00A07F4E" w14:paraId="103E4F05"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C3ED47" w14:textId="20C0E910"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4. Pénzvált</w:t>
            </w:r>
            <w:r>
              <w:rPr>
                <w:rFonts w:eastAsia="Times New Roman" w:cs="Calibri"/>
                <w:color w:val="000000"/>
                <w:sz w:val="18"/>
                <w:szCs w:val="18"/>
              </w:rPr>
              <w:t>ó irodák</w:t>
            </w:r>
          </w:p>
        </w:tc>
        <w:tc>
          <w:tcPr>
            <w:tcW w:w="1984" w:type="dxa"/>
            <w:tcBorders>
              <w:top w:val="nil"/>
              <w:left w:val="nil"/>
              <w:bottom w:val="single" w:sz="4" w:space="0" w:color="auto"/>
              <w:right w:val="single" w:sz="4" w:space="0" w:color="auto"/>
            </w:tcBorders>
            <w:shd w:val="clear" w:color="000000" w:fill="FFC000"/>
            <w:noWrap/>
            <w:vAlign w:val="center"/>
            <w:hideMark/>
          </w:tcPr>
          <w:p w14:paraId="07728B06"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Jelentős</w:t>
            </w:r>
          </w:p>
        </w:tc>
        <w:tc>
          <w:tcPr>
            <w:tcW w:w="2126" w:type="dxa"/>
            <w:tcBorders>
              <w:top w:val="nil"/>
              <w:left w:val="nil"/>
              <w:bottom w:val="single" w:sz="4" w:space="0" w:color="auto"/>
              <w:right w:val="single" w:sz="4" w:space="0" w:color="auto"/>
            </w:tcBorders>
            <w:shd w:val="clear" w:color="000000" w:fill="FFFF00"/>
            <w:noWrap/>
            <w:vAlign w:val="center"/>
            <w:hideMark/>
          </w:tcPr>
          <w:p w14:paraId="504C0A91"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r w:rsidR="00EA0DCE" w:rsidRPr="00A07F4E" w14:paraId="55010620"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6A2D56"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5. Befektetési vállalkozások</w:t>
            </w:r>
          </w:p>
        </w:tc>
        <w:tc>
          <w:tcPr>
            <w:tcW w:w="1984" w:type="dxa"/>
            <w:tcBorders>
              <w:top w:val="nil"/>
              <w:left w:val="nil"/>
              <w:bottom w:val="single" w:sz="4" w:space="0" w:color="auto"/>
              <w:right w:val="single" w:sz="4" w:space="0" w:color="auto"/>
            </w:tcBorders>
            <w:shd w:val="clear" w:color="000000" w:fill="FFFF00"/>
            <w:noWrap/>
            <w:vAlign w:val="center"/>
            <w:hideMark/>
          </w:tcPr>
          <w:p w14:paraId="215A10C3"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c>
          <w:tcPr>
            <w:tcW w:w="2126" w:type="dxa"/>
            <w:tcBorders>
              <w:top w:val="nil"/>
              <w:left w:val="nil"/>
              <w:bottom w:val="single" w:sz="4" w:space="0" w:color="auto"/>
              <w:right w:val="single" w:sz="4" w:space="0" w:color="auto"/>
            </w:tcBorders>
            <w:shd w:val="clear" w:color="000000" w:fill="FFFF00"/>
            <w:noWrap/>
            <w:vAlign w:val="center"/>
            <w:hideMark/>
          </w:tcPr>
          <w:p w14:paraId="1741DE7C"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r w:rsidR="00EA0DCE" w:rsidRPr="00A07F4E" w14:paraId="31B7F555"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354D39E"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6. Kollektív befektetési vállalkozások/alapkezelők</w:t>
            </w:r>
          </w:p>
        </w:tc>
        <w:tc>
          <w:tcPr>
            <w:tcW w:w="1984" w:type="dxa"/>
            <w:tcBorders>
              <w:top w:val="nil"/>
              <w:left w:val="nil"/>
              <w:bottom w:val="single" w:sz="4" w:space="0" w:color="auto"/>
              <w:right w:val="single" w:sz="4" w:space="0" w:color="auto"/>
            </w:tcBorders>
            <w:shd w:val="clear" w:color="000000" w:fill="FFFF00"/>
            <w:noWrap/>
            <w:vAlign w:val="center"/>
            <w:hideMark/>
          </w:tcPr>
          <w:p w14:paraId="08470DA6"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c>
          <w:tcPr>
            <w:tcW w:w="2126" w:type="dxa"/>
            <w:tcBorders>
              <w:top w:val="nil"/>
              <w:left w:val="nil"/>
              <w:bottom w:val="single" w:sz="4" w:space="0" w:color="auto"/>
              <w:right w:val="single" w:sz="4" w:space="0" w:color="auto"/>
            </w:tcBorders>
            <w:shd w:val="clear" w:color="000000" w:fill="FFFF00"/>
            <w:noWrap/>
            <w:vAlign w:val="center"/>
            <w:hideMark/>
          </w:tcPr>
          <w:p w14:paraId="28E34417"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r w:rsidR="00EA0DCE" w:rsidRPr="00A07F4E" w14:paraId="4DC69903"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4B8296"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 xml:space="preserve">7. Pénzügyi szolgáltatók </w:t>
            </w:r>
          </w:p>
        </w:tc>
        <w:tc>
          <w:tcPr>
            <w:tcW w:w="1984" w:type="dxa"/>
            <w:tcBorders>
              <w:top w:val="nil"/>
              <w:left w:val="nil"/>
              <w:bottom w:val="single" w:sz="4" w:space="0" w:color="auto"/>
              <w:right w:val="single" w:sz="4" w:space="0" w:color="auto"/>
            </w:tcBorders>
            <w:shd w:val="clear" w:color="000000" w:fill="FFFF00"/>
            <w:noWrap/>
            <w:vAlign w:val="center"/>
            <w:hideMark/>
          </w:tcPr>
          <w:p w14:paraId="60DDA3FC"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c>
          <w:tcPr>
            <w:tcW w:w="2126" w:type="dxa"/>
            <w:tcBorders>
              <w:top w:val="nil"/>
              <w:left w:val="nil"/>
              <w:bottom w:val="single" w:sz="4" w:space="0" w:color="auto"/>
              <w:right w:val="single" w:sz="4" w:space="0" w:color="auto"/>
            </w:tcBorders>
            <w:shd w:val="clear" w:color="000000" w:fill="FFFF00"/>
            <w:noWrap/>
            <w:vAlign w:val="center"/>
            <w:hideMark/>
          </w:tcPr>
          <w:p w14:paraId="31E8DF2D"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r w:rsidR="00EA0DCE" w:rsidRPr="00A07F4E" w14:paraId="45B0EB2F"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E8F5DC"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8. Életbiztosítók</w:t>
            </w:r>
          </w:p>
        </w:tc>
        <w:tc>
          <w:tcPr>
            <w:tcW w:w="1984" w:type="dxa"/>
            <w:tcBorders>
              <w:top w:val="nil"/>
              <w:left w:val="nil"/>
              <w:bottom w:val="single" w:sz="4" w:space="0" w:color="auto"/>
              <w:right w:val="single" w:sz="4" w:space="0" w:color="auto"/>
            </w:tcBorders>
            <w:shd w:val="clear" w:color="000000" w:fill="FFFF00"/>
            <w:noWrap/>
            <w:vAlign w:val="center"/>
            <w:hideMark/>
          </w:tcPr>
          <w:p w14:paraId="422CD6BB"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c>
          <w:tcPr>
            <w:tcW w:w="2126" w:type="dxa"/>
            <w:tcBorders>
              <w:top w:val="nil"/>
              <w:left w:val="nil"/>
              <w:bottom w:val="single" w:sz="4" w:space="0" w:color="auto"/>
              <w:right w:val="single" w:sz="4" w:space="0" w:color="auto"/>
            </w:tcBorders>
            <w:shd w:val="clear" w:color="000000" w:fill="FFFF00"/>
            <w:noWrap/>
            <w:vAlign w:val="center"/>
            <w:hideMark/>
          </w:tcPr>
          <w:p w14:paraId="4D36ADA8"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Mérsékelten jelentős</w:t>
            </w:r>
          </w:p>
        </w:tc>
      </w:tr>
      <w:tr w:rsidR="00EA0DCE" w:rsidRPr="00A07F4E" w14:paraId="5BD49339"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2EF88E"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9. Életbiztosítás közvetítők</w:t>
            </w:r>
          </w:p>
        </w:tc>
        <w:tc>
          <w:tcPr>
            <w:tcW w:w="1984" w:type="dxa"/>
            <w:tcBorders>
              <w:top w:val="nil"/>
              <w:left w:val="nil"/>
              <w:bottom w:val="single" w:sz="4" w:space="0" w:color="auto"/>
              <w:right w:val="single" w:sz="4" w:space="0" w:color="auto"/>
            </w:tcBorders>
            <w:shd w:val="clear" w:color="000000" w:fill="92D050"/>
            <w:noWrap/>
            <w:vAlign w:val="center"/>
            <w:hideMark/>
          </w:tcPr>
          <w:p w14:paraId="52022199"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36CFC565"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tr w:rsidR="00EA0DCE" w:rsidRPr="00A07F4E" w14:paraId="4A8D82C6"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520E241" w14:textId="77777777" w:rsidR="00EA0DCE" w:rsidRPr="00A07F4E" w:rsidRDefault="00EA0DCE" w:rsidP="00EA0DCE">
            <w:pPr>
              <w:spacing w:after="0" w:line="240" w:lineRule="auto"/>
              <w:ind w:firstLineChars="100" w:firstLine="180"/>
              <w:jc w:val="left"/>
              <w:rPr>
                <w:rFonts w:eastAsia="Times New Roman" w:cs="Calibri"/>
                <w:color w:val="000000"/>
                <w:sz w:val="18"/>
                <w:szCs w:val="18"/>
              </w:rPr>
            </w:pPr>
            <w:r w:rsidRPr="00A07F4E">
              <w:rPr>
                <w:rFonts w:eastAsia="Times New Roman" w:cs="Calibri"/>
                <w:color w:val="000000"/>
                <w:sz w:val="18"/>
                <w:szCs w:val="18"/>
              </w:rPr>
              <w:t xml:space="preserve"> - Biztosítási alkusz </w:t>
            </w:r>
          </w:p>
        </w:tc>
        <w:tc>
          <w:tcPr>
            <w:tcW w:w="1984" w:type="dxa"/>
            <w:tcBorders>
              <w:top w:val="nil"/>
              <w:left w:val="nil"/>
              <w:bottom w:val="single" w:sz="4" w:space="0" w:color="auto"/>
              <w:right w:val="single" w:sz="4" w:space="0" w:color="auto"/>
            </w:tcBorders>
            <w:shd w:val="clear" w:color="000000" w:fill="92D050"/>
            <w:noWrap/>
            <w:vAlign w:val="center"/>
            <w:hideMark/>
          </w:tcPr>
          <w:p w14:paraId="59948458"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31A60EAB"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tr w:rsidR="00EA0DCE" w:rsidRPr="00A07F4E" w14:paraId="6DFEBF97"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1DEB8CD" w14:textId="77777777" w:rsidR="00EA0DCE" w:rsidRPr="00A07F4E" w:rsidRDefault="00EA0DCE" w:rsidP="00EA0DCE">
            <w:pPr>
              <w:spacing w:after="0" w:line="240" w:lineRule="auto"/>
              <w:ind w:firstLineChars="100" w:firstLine="180"/>
              <w:jc w:val="left"/>
              <w:rPr>
                <w:rFonts w:eastAsia="Times New Roman" w:cs="Calibri"/>
                <w:color w:val="000000"/>
                <w:sz w:val="18"/>
                <w:szCs w:val="18"/>
              </w:rPr>
            </w:pPr>
            <w:r w:rsidRPr="00A07F4E">
              <w:rPr>
                <w:rFonts w:eastAsia="Times New Roman" w:cs="Calibri"/>
                <w:color w:val="000000"/>
                <w:sz w:val="18"/>
                <w:szCs w:val="18"/>
              </w:rPr>
              <w:t xml:space="preserve"> - Biztosítási többes ügynök  </w:t>
            </w:r>
          </w:p>
        </w:tc>
        <w:tc>
          <w:tcPr>
            <w:tcW w:w="1984" w:type="dxa"/>
            <w:tcBorders>
              <w:top w:val="nil"/>
              <w:left w:val="nil"/>
              <w:bottom w:val="single" w:sz="4" w:space="0" w:color="auto"/>
              <w:right w:val="single" w:sz="4" w:space="0" w:color="auto"/>
            </w:tcBorders>
            <w:shd w:val="clear" w:color="000000" w:fill="92D050"/>
            <w:noWrap/>
            <w:vAlign w:val="center"/>
            <w:hideMark/>
          </w:tcPr>
          <w:p w14:paraId="48646644"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4EB417B8"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tr w:rsidR="00EA0DCE" w:rsidRPr="00A07F4E" w14:paraId="35BEB580"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6108E436" w14:textId="77777777" w:rsidR="00EA0DCE" w:rsidRPr="00A07F4E" w:rsidRDefault="00EA0DCE" w:rsidP="00EA0DCE">
            <w:pPr>
              <w:spacing w:after="0" w:line="240" w:lineRule="auto"/>
              <w:ind w:firstLineChars="100" w:firstLine="180"/>
              <w:jc w:val="left"/>
              <w:rPr>
                <w:rFonts w:eastAsia="Times New Roman" w:cs="Calibri"/>
                <w:color w:val="000000"/>
                <w:sz w:val="18"/>
                <w:szCs w:val="18"/>
              </w:rPr>
            </w:pPr>
            <w:r w:rsidRPr="00A07F4E">
              <w:rPr>
                <w:rFonts w:eastAsia="Times New Roman" w:cs="Calibri"/>
                <w:color w:val="000000"/>
                <w:sz w:val="18"/>
                <w:szCs w:val="18"/>
              </w:rPr>
              <w:t xml:space="preserve"> - Biztosításközvetítő fióktelep </w:t>
            </w:r>
          </w:p>
        </w:tc>
        <w:tc>
          <w:tcPr>
            <w:tcW w:w="1984" w:type="dxa"/>
            <w:tcBorders>
              <w:top w:val="nil"/>
              <w:left w:val="nil"/>
              <w:bottom w:val="single" w:sz="4" w:space="0" w:color="auto"/>
              <w:right w:val="single" w:sz="4" w:space="0" w:color="auto"/>
            </w:tcBorders>
            <w:shd w:val="clear" w:color="000000" w:fill="92D050"/>
            <w:noWrap/>
            <w:vAlign w:val="center"/>
            <w:hideMark/>
          </w:tcPr>
          <w:p w14:paraId="2D27DC3C"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6D38C3DC"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tr w:rsidR="00EA0DCE" w:rsidRPr="00A07F4E" w14:paraId="62DDDFD4" w14:textId="77777777" w:rsidTr="009F3A30">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45BC99"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10. Bizalmi vagyonkezelők</w:t>
            </w:r>
          </w:p>
        </w:tc>
        <w:tc>
          <w:tcPr>
            <w:tcW w:w="1984" w:type="dxa"/>
            <w:tcBorders>
              <w:top w:val="nil"/>
              <w:left w:val="nil"/>
              <w:bottom w:val="single" w:sz="4" w:space="0" w:color="auto"/>
              <w:right w:val="single" w:sz="4" w:space="0" w:color="auto"/>
            </w:tcBorders>
            <w:shd w:val="clear" w:color="auto" w:fill="FF0000"/>
            <w:noWrap/>
            <w:vAlign w:val="center"/>
            <w:hideMark/>
          </w:tcPr>
          <w:p w14:paraId="3E613643" w14:textId="77777777" w:rsidR="00EA0DCE" w:rsidRPr="009F3A30" w:rsidRDefault="00EA0DCE" w:rsidP="00EA0DCE">
            <w:pPr>
              <w:spacing w:after="0" w:line="240" w:lineRule="auto"/>
              <w:jc w:val="center"/>
              <w:rPr>
                <w:color w:val="000000"/>
                <w:sz w:val="18"/>
                <w:highlight w:val="red"/>
              </w:rPr>
            </w:pPr>
            <w:r w:rsidRPr="00A07F4E">
              <w:rPr>
                <w:rFonts w:eastAsia="Times New Roman" w:cs="Calibri"/>
                <w:color w:val="000000"/>
                <w:sz w:val="18"/>
                <w:szCs w:val="18"/>
              </w:rPr>
              <w:t>Nagyon jelentős</w:t>
            </w:r>
          </w:p>
        </w:tc>
        <w:tc>
          <w:tcPr>
            <w:tcW w:w="2126" w:type="dxa"/>
            <w:tcBorders>
              <w:top w:val="nil"/>
              <w:left w:val="nil"/>
              <w:bottom w:val="single" w:sz="4" w:space="0" w:color="auto"/>
              <w:right w:val="single" w:sz="4" w:space="0" w:color="auto"/>
            </w:tcBorders>
            <w:shd w:val="clear" w:color="000000" w:fill="FF0000"/>
            <w:noWrap/>
            <w:vAlign w:val="center"/>
            <w:hideMark/>
          </w:tcPr>
          <w:p w14:paraId="326B8BC5"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Nagyon jelentős</w:t>
            </w:r>
          </w:p>
        </w:tc>
      </w:tr>
      <w:tr w:rsidR="00EA0DCE" w:rsidRPr="00A07F4E" w14:paraId="5AE2B59D" w14:textId="77777777" w:rsidTr="009F3A30">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E0AAFE"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 xml:space="preserve"> - üzletszerű bizalmi vagyonkezelők</w:t>
            </w:r>
          </w:p>
        </w:tc>
        <w:tc>
          <w:tcPr>
            <w:tcW w:w="1984" w:type="dxa"/>
            <w:tcBorders>
              <w:top w:val="nil"/>
              <w:left w:val="nil"/>
              <w:bottom w:val="single" w:sz="4" w:space="0" w:color="auto"/>
              <w:right w:val="single" w:sz="4" w:space="0" w:color="auto"/>
            </w:tcBorders>
            <w:shd w:val="clear" w:color="auto" w:fill="FF0000"/>
            <w:noWrap/>
            <w:vAlign w:val="center"/>
            <w:hideMark/>
          </w:tcPr>
          <w:p w14:paraId="6A0CD073" w14:textId="77777777" w:rsidR="00EA0DCE" w:rsidRPr="009F3A30" w:rsidRDefault="00EA0DCE" w:rsidP="00EA0DCE">
            <w:pPr>
              <w:spacing w:after="0" w:line="240" w:lineRule="auto"/>
              <w:jc w:val="center"/>
              <w:rPr>
                <w:color w:val="000000"/>
                <w:sz w:val="18"/>
                <w:highlight w:val="red"/>
              </w:rPr>
            </w:pPr>
            <w:r w:rsidRPr="00A07F4E">
              <w:rPr>
                <w:rFonts w:eastAsia="Times New Roman" w:cs="Calibri"/>
                <w:color w:val="000000"/>
                <w:sz w:val="18"/>
                <w:szCs w:val="18"/>
              </w:rPr>
              <w:t>Nagyon jelentős</w:t>
            </w:r>
          </w:p>
        </w:tc>
        <w:tc>
          <w:tcPr>
            <w:tcW w:w="2126" w:type="dxa"/>
            <w:tcBorders>
              <w:top w:val="nil"/>
              <w:left w:val="nil"/>
              <w:bottom w:val="single" w:sz="4" w:space="0" w:color="auto"/>
              <w:right w:val="single" w:sz="4" w:space="0" w:color="auto"/>
            </w:tcBorders>
            <w:shd w:val="clear" w:color="000000" w:fill="FF0000"/>
            <w:noWrap/>
            <w:vAlign w:val="center"/>
            <w:hideMark/>
          </w:tcPr>
          <w:p w14:paraId="08A5C77D"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Nagyon jelentős</w:t>
            </w:r>
          </w:p>
        </w:tc>
      </w:tr>
      <w:tr w:rsidR="00EA0DCE" w:rsidRPr="00A07F4E" w14:paraId="084871FE" w14:textId="77777777" w:rsidTr="009F3A30">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5E3282"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 xml:space="preserve"> - nem üzletszerű bizalmi vagyonkezelők</w:t>
            </w:r>
          </w:p>
        </w:tc>
        <w:tc>
          <w:tcPr>
            <w:tcW w:w="1984" w:type="dxa"/>
            <w:tcBorders>
              <w:top w:val="nil"/>
              <w:left w:val="nil"/>
              <w:bottom w:val="single" w:sz="4" w:space="0" w:color="auto"/>
              <w:right w:val="single" w:sz="4" w:space="0" w:color="auto"/>
            </w:tcBorders>
            <w:shd w:val="clear" w:color="auto" w:fill="FF0000"/>
            <w:noWrap/>
            <w:vAlign w:val="center"/>
            <w:hideMark/>
          </w:tcPr>
          <w:p w14:paraId="26C48357" w14:textId="77777777" w:rsidR="00EA0DCE" w:rsidRPr="00A07F4E" w:rsidRDefault="00EA0DCE" w:rsidP="00EA0DCE">
            <w:pPr>
              <w:spacing w:after="0" w:line="240" w:lineRule="auto"/>
              <w:jc w:val="center"/>
              <w:rPr>
                <w:rFonts w:eastAsia="Times New Roman" w:cs="Calibri"/>
                <w:color w:val="000000"/>
                <w:sz w:val="18"/>
                <w:szCs w:val="18"/>
              </w:rPr>
            </w:pPr>
            <w:r>
              <w:rPr>
                <w:rFonts w:eastAsia="Times New Roman" w:cs="Calibri"/>
                <w:color w:val="000000"/>
                <w:sz w:val="18"/>
                <w:szCs w:val="18"/>
              </w:rPr>
              <w:t>Nagyon j</w:t>
            </w:r>
            <w:r w:rsidRPr="00A07F4E">
              <w:rPr>
                <w:rFonts w:eastAsia="Times New Roman" w:cs="Calibri"/>
                <w:color w:val="000000"/>
                <w:sz w:val="18"/>
                <w:szCs w:val="18"/>
              </w:rPr>
              <w:t>elentős</w:t>
            </w:r>
          </w:p>
        </w:tc>
        <w:tc>
          <w:tcPr>
            <w:tcW w:w="2126" w:type="dxa"/>
            <w:tcBorders>
              <w:top w:val="nil"/>
              <w:left w:val="nil"/>
              <w:bottom w:val="single" w:sz="4" w:space="0" w:color="auto"/>
              <w:right w:val="single" w:sz="4" w:space="0" w:color="auto"/>
            </w:tcBorders>
            <w:shd w:val="clear" w:color="000000" w:fill="FFC000"/>
            <w:noWrap/>
            <w:vAlign w:val="center"/>
            <w:hideMark/>
          </w:tcPr>
          <w:p w14:paraId="5BEF597A"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Jelentős</w:t>
            </w:r>
          </w:p>
        </w:tc>
      </w:tr>
      <w:tr w:rsidR="00EA0DCE" w:rsidRPr="00A07F4E" w14:paraId="13B509B6"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49DA7D"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11. Pénztárak</w:t>
            </w:r>
          </w:p>
        </w:tc>
        <w:tc>
          <w:tcPr>
            <w:tcW w:w="1984" w:type="dxa"/>
            <w:tcBorders>
              <w:top w:val="nil"/>
              <w:left w:val="nil"/>
              <w:bottom w:val="single" w:sz="4" w:space="0" w:color="auto"/>
              <w:right w:val="single" w:sz="4" w:space="0" w:color="auto"/>
            </w:tcBorders>
            <w:shd w:val="clear" w:color="000000" w:fill="92D050"/>
            <w:noWrap/>
            <w:vAlign w:val="center"/>
            <w:hideMark/>
          </w:tcPr>
          <w:p w14:paraId="524FD69C"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5BE8F969"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tr w:rsidR="00EA0DCE" w:rsidRPr="00A07F4E" w14:paraId="1B5F5D29"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342596B"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12. Foglalkoztatói nyugdíjszolgáltató</w:t>
            </w:r>
            <w:r>
              <w:rPr>
                <w:rFonts w:eastAsia="Times New Roman" w:cs="Calibri"/>
                <w:color w:val="000000"/>
                <w:sz w:val="18"/>
                <w:szCs w:val="18"/>
              </w:rPr>
              <w:t>k</w:t>
            </w:r>
          </w:p>
        </w:tc>
        <w:tc>
          <w:tcPr>
            <w:tcW w:w="1984" w:type="dxa"/>
            <w:tcBorders>
              <w:top w:val="nil"/>
              <w:left w:val="nil"/>
              <w:bottom w:val="single" w:sz="4" w:space="0" w:color="auto"/>
              <w:right w:val="single" w:sz="4" w:space="0" w:color="auto"/>
            </w:tcBorders>
            <w:shd w:val="clear" w:color="000000" w:fill="92D050"/>
            <w:noWrap/>
            <w:vAlign w:val="center"/>
            <w:hideMark/>
          </w:tcPr>
          <w:p w14:paraId="436D3098"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4EEDFF13"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tr w:rsidR="00EA0DCE" w:rsidRPr="00A07F4E" w14:paraId="4B9C0A58"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485BEE5" w14:textId="437AEFF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13. Utalvány</w:t>
            </w:r>
            <w:r>
              <w:rPr>
                <w:rFonts w:eastAsia="Times New Roman" w:cs="Calibri"/>
                <w:color w:val="000000"/>
                <w:sz w:val="18"/>
                <w:szCs w:val="18"/>
              </w:rPr>
              <w:t>-</w:t>
            </w:r>
            <w:r w:rsidRPr="00A07F4E">
              <w:rPr>
                <w:rFonts w:eastAsia="Times New Roman" w:cs="Calibri"/>
                <w:color w:val="000000"/>
                <w:sz w:val="18"/>
                <w:szCs w:val="18"/>
              </w:rPr>
              <w:t>kibocsátók</w:t>
            </w:r>
          </w:p>
        </w:tc>
        <w:tc>
          <w:tcPr>
            <w:tcW w:w="1984" w:type="dxa"/>
            <w:tcBorders>
              <w:top w:val="nil"/>
              <w:left w:val="nil"/>
              <w:bottom w:val="single" w:sz="4" w:space="0" w:color="auto"/>
              <w:right w:val="single" w:sz="4" w:space="0" w:color="auto"/>
            </w:tcBorders>
            <w:shd w:val="clear" w:color="000000" w:fill="92D050"/>
            <w:noWrap/>
            <w:vAlign w:val="center"/>
            <w:hideMark/>
          </w:tcPr>
          <w:p w14:paraId="09F9183C"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34235C63"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tr w:rsidR="00EA0DCE" w:rsidRPr="00A07F4E" w14:paraId="5252DEE7"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45BDA4"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14. Piacműködtetők</w:t>
            </w:r>
          </w:p>
        </w:tc>
        <w:tc>
          <w:tcPr>
            <w:tcW w:w="1984" w:type="dxa"/>
            <w:tcBorders>
              <w:top w:val="nil"/>
              <w:left w:val="nil"/>
              <w:bottom w:val="single" w:sz="4" w:space="0" w:color="auto"/>
              <w:right w:val="single" w:sz="4" w:space="0" w:color="auto"/>
            </w:tcBorders>
            <w:shd w:val="clear" w:color="000000" w:fill="92D050"/>
            <w:noWrap/>
            <w:vAlign w:val="center"/>
            <w:hideMark/>
          </w:tcPr>
          <w:p w14:paraId="5A891717"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5847B761"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tr w:rsidR="00EA0DCE" w:rsidRPr="00A07F4E" w14:paraId="22BEEA29"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3E1584"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15. Pénzpiaci közvetítő</w:t>
            </w:r>
            <w:r>
              <w:rPr>
                <w:rFonts w:eastAsia="Times New Roman" w:cs="Calibri"/>
                <w:color w:val="000000"/>
                <w:sz w:val="18"/>
                <w:szCs w:val="18"/>
              </w:rPr>
              <w:t>k</w:t>
            </w:r>
            <w:r w:rsidRPr="00A07F4E">
              <w:rPr>
                <w:rFonts w:eastAsia="Times New Roman" w:cs="Calibri"/>
                <w:color w:val="000000"/>
                <w:sz w:val="18"/>
                <w:szCs w:val="18"/>
              </w:rPr>
              <w:t xml:space="preserve"> </w:t>
            </w:r>
          </w:p>
        </w:tc>
        <w:tc>
          <w:tcPr>
            <w:tcW w:w="1984" w:type="dxa"/>
            <w:tcBorders>
              <w:top w:val="nil"/>
              <w:left w:val="nil"/>
              <w:bottom w:val="single" w:sz="4" w:space="0" w:color="auto"/>
              <w:right w:val="single" w:sz="4" w:space="0" w:color="auto"/>
            </w:tcBorders>
            <w:shd w:val="clear" w:color="000000" w:fill="92D050"/>
            <w:noWrap/>
            <w:vAlign w:val="center"/>
            <w:hideMark/>
          </w:tcPr>
          <w:p w14:paraId="78CC3B5F"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4E0EA438"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tr w:rsidR="00EA0DCE" w:rsidRPr="00A07F4E" w14:paraId="531C0626" w14:textId="77777777" w:rsidTr="00A07F4E">
        <w:trPr>
          <w:trHeight w:val="28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29FD5D" w14:textId="77777777" w:rsidR="00EA0DCE" w:rsidRPr="00A07F4E" w:rsidRDefault="00EA0DCE" w:rsidP="00EA0DCE">
            <w:pPr>
              <w:spacing w:after="0" w:line="240" w:lineRule="auto"/>
              <w:jc w:val="left"/>
              <w:rPr>
                <w:rFonts w:eastAsia="Times New Roman" w:cs="Calibri"/>
                <w:color w:val="000000"/>
                <w:sz w:val="18"/>
                <w:szCs w:val="18"/>
              </w:rPr>
            </w:pPr>
            <w:r w:rsidRPr="00A07F4E">
              <w:rPr>
                <w:rFonts w:eastAsia="Times New Roman" w:cs="Calibri"/>
                <w:color w:val="000000"/>
                <w:sz w:val="18"/>
                <w:szCs w:val="18"/>
              </w:rPr>
              <w:t>16. Pénzfeldolgozók</w:t>
            </w:r>
          </w:p>
        </w:tc>
        <w:tc>
          <w:tcPr>
            <w:tcW w:w="1984" w:type="dxa"/>
            <w:tcBorders>
              <w:top w:val="nil"/>
              <w:left w:val="nil"/>
              <w:bottom w:val="single" w:sz="4" w:space="0" w:color="auto"/>
              <w:right w:val="single" w:sz="4" w:space="0" w:color="auto"/>
            </w:tcBorders>
            <w:shd w:val="clear" w:color="000000" w:fill="92D050"/>
            <w:noWrap/>
            <w:vAlign w:val="center"/>
            <w:hideMark/>
          </w:tcPr>
          <w:p w14:paraId="12E9A3CB"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Kevésbé jelentős</w:t>
            </w:r>
          </w:p>
        </w:tc>
        <w:tc>
          <w:tcPr>
            <w:tcW w:w="2126" w:type="dxa"/>
            <w:tcBorders>
              <w:top w:val="nil"/>
              <w:left w:val="nil"/>
              <w:bottom w:val="single" w:sz="4" w:space="0" w:color="auto"/>
              <w:right w:val="single" w:sz="4" w:space="0" w:color="auto"/>
            </w:tcBorders>
            <w:shd w:val="clear" w:color="000000" w:fill="92D050"/>
            <w:noWrap/>
            <w:vAlign w:val="center"/>
            <w:hideMark/>
          </w:tcPr>
          <w:p w14:paraId="283D4F68" w14:textId="77777777" w:rsidR="00EA0DCE" w:rsidRPr="00A07F4E" w:rsidRDefault="00EA0DCE" w:rsidP="00EA0DCE">
            <w:pPr>
              <w:spacing w:after="0" w:line="240" w:lineRule="auto"/>
              <w:jc w:val="center"/>
              <w:rPr>
                <w:rFonts w:eastAsia="Times New Roman" w:cs="Calibri"/>
                <w:color w:val="000000"/>
                <w:sz w:val="18"/>
                <w:szCs w:val="18"/>
              </w:rPr>
            </w:pPr>
            <w:r w:rsidRPr="00A07F4E">
              <w:rPr>
                <w:rFonts w:eastAsia="Times New Roman" w:cs="Calibri"/>
                <w:color w:val="000000"/>
                <w:sz w:val="18"/>
                <w:szCs w:val="18"/>
              </w:rPr>
              <w:t>Kevésbe jelentős</w:t>
            </w:r>
          </w:p>
        </w:tc>
      </w:tr>
      <w:bookmarkEnd w:id="354"/>
    </w:tbl>
    <w:p w14:paraId="7524B093" w14:textId="77777777" w:rsidR="00F17319" w:rsidRPr="00A07F4E" w:rsidRDefault="00F17319" w:rsidP="006855CF"/>
    <w:p w14:paraId="0377A942" w14:textId="7EBF04AE" w:rsidR="0061032A" w:rsidRPr="00310CEB" w:rsidRDefault="0061032A" w:rsidP="00700EC3"/>
    <w:sectPr w:rsidR="0061032A" w:rsidRPr="00310CEB" w:rsidSect="00B27620">
      <w:headerReference w:type="default" r:id="rId12"/>
      <w:footerReference w:type="default" r:id="rId13"/>
      <w:pgSz w:w="11906" w:h="16838" w:code="9"/>
      <w:pgMar w:top="1418" w:right="1191" w:bottom="170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C9CB" w14:textId="77777777" w:rsidR="006C6733" w:rsidRDefault="006C6733">
      <w:r>
        <w:separator/>
      </w:r>
    </w:p>
  </w:endnote>
  <w:endnote w:type="continuationSeparator" w:id="0">
    <w:p w14:paraId="2CC35EBC" w14:textId="77777777" w:rsidR="006C6733" w:rsidRDefault="006C6733">
      <w:r>
        <w:continuationSeparator/>
      </w:r>
    </w:p>
  </w:endnote>
  <w:endnote w:type="continuationNotice" w:id="1">
    <w:p w14:paraId="1326B236" w14:textId="77777777" w:rsidR="006C6733" w:rsidRDefault="006C6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6167" w14:textId="77777777" w:rsidR="009661DC" w:rsidRPr="00AC6950" w:rsidRDefault="009661DC"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8E7A" w14:textId="77777777" w:rsidR="006C6733" w:rsidRDefault="006C6733">
      <w:r>
        <w:separator/>
      </w:r>
    </w:p>
  </w:footnote>
  <w:footnote w:type="continuationSeparator" w:id="0">
    <w:p w14:paraId="16083041" w14:textId="77777777" w:rsidR="006C6733" w:rsidRDefault="006C6733">
      <w:r>
        <w:continuationSeparator/>
      </w:r>
    </w:p>
  </w:footnote>
  <w:footnote w:type="continuationNotice" w:id="1">
    <w:p w14:paraId="718CE1FD" w14:textId="77777777" w:rsidR="006C6733" w:rsidRDefault="006C6733">
      <w:pPr>
        <w:spacing w:after="0" w:line="240" w:lineRule="auto"/>
      </w:pPr>
    </w:p>
  </w:footnote>
  <w:footnote w:id="2">
    <w:p w14:paraId="7437DCD4" w14:textId="29BD62F2" w:rsidR="00C1449C" w:rsidRPr="000222BD" w:rsidRDefault="00C1449C">
      <w:pPr>
        <w:pStyle w:val="Lbjegyzetszveg"/>
        <w:rPr>
          <w:i/>
          <w:iCs/>
        </w:rPr>
      </w:pPr>
      <w:r>
        <w:rPr>
          <w:rStyle w:val="Lbjegyzet-hivatkozs"/>
        </w:rPr>
        <w:footnoteRef/>
      </w:r>
      <w:r>
        <w:t xml:space="preserve"> </w:t>
      </w:r>
      <w:r w:rsidR="00096705" w:rsidRPr="00096705">
        <w:t>a hitelintézetekről és a pénzügyi vállalkozásokról</w:t>
      </w:r>
      <w:r w:rsidR="00096705">
        <w:t xml:space="preserve"> szóló </w:t>
      </w:r>
      <w:r w:rsidR="00096705" w:rsidRPr="00096705">
        <w:t>2013. évi CCXXXVII. törvény</w:t>
      </w:r>
      <w:r w:rsidR="00096705">
        <w:t xml:space="preserve"> (</w:t>
      </w:r>
      <w:r w:rsidRPr="000222BD">
        <w:rPr>
          <w:b/>
          <w:bCs/>
        </w:rPr>
        <w:t>Hpt.</w:t>
      </w:r>
      <w:r w:rsidR="00096705">
        <w:t>)</w:t>
      </w:r>
      <w:r>
        <w:t xml:space="preserve"> 8. § (1) bekezdés alapján: „</w:t>
      </w:r>
      <w:r w:rsidRPr="000222BD">
        <w:rPr>
          <w:i/>
          <w:iCs/>
        </w:rPr>
        <w:t>Hitelintézet az a pénzügyi intézmény, amely a 3. §-ban meghatározott pénzügyi szolgáltatások közül legalább betétet gyűjt, vagy más visszafizetendő pénzeszközt fogad el a nyilvánosságtól - ide nem értve a jogszabályban meghatározott nyilvános kötvénykibocsátást -, valamint hitelt és pénzkölcsönt nyújt.”</w:t>
      </w:r>
    </w:p>
  </w:footnote>
  <w:footnote w:id="3">
    <w:p w14:paraId="45179296" w14:textId="54F34784" w:rsidR="009661DC" w:rsidRDefault="009661DC" w:rsidP="001C0863">
      <w:pPr>
        <w:pStyle w:val="Lbjegyzetszveg"/>
      </w:pPr>
      <w:r w:rsidRPr="009F3A30">
        <w:rPr>
          <w:rStyle w:val="Lbjegyzet-hivatkozs"/>
        </w:rPr>
        <w:footnoteRef/>
      </w:r>
      <w:r w:rsidRPr="009F3A30">
        <w:t xml:space="preserve"> Az </w:t>
      </w:r>
      <w:proofErr w:type="spellStart"/>
      <w:r w:rsidRPr="009F3A30">
        <w:t>EBA</w:t>
      </w:r>
      <w:proofErr w:type="spellEnd"/>
      <w:r w:rsidRPr="009F3A30">
        <w:t xml:space="preserve"> részére benyújtott, </w:t>
      </w:r>
      <w:r w:rsidR="00752EF6">
        <w:t>az MNB</w:t>
      </w:r>
      <w:r w:rsidRPr="009F3A30">
        <w:t xml:space="preserve"> által kitöltött „</w:t>
      </w:r>
      <w:proofErr w:type="spellStart"/>
      <w:r w:rsidRPr="009F3A30">
        <w:rPr>
          <w:i/>
        </w:rPr>
        <w:t>Opinion</w:t>
      </w:r>
      <w:proofErr w:type="spellEnd"/>
      <w:r w:rsidRPr="009F3A30">
        <w:rPr>
          <w:i/>
        </w:rPr>
        <w:t xml:space="preserve"> </w:t>
      </w:r>
      <w:proofErr w:type="spellStart"/>
      <w:r w:rsidRPr="009F3A30">
        <w:rPr>
          <w:i/>
        </w:rPr>
        <w:t>on</w:t>
      </w:r>
      <w:proofErr w:type="spellEnd"/>
      <w:r w:rsidRPr="009F3A30">
        <w:rPr>
          <w:i/>
        </w:rPr>
        <w:t xml:space="preserve"> </w:t>
      </w:r>
      <w:proofErr w:type="spellStart"/>
      <w:r w:rsidRPr="009F3A30">
        <w:rPr>
          <w:i/>
        </w:rPr>
        <w:t>the</w:t>
      </w:r>
      <w:proofErr w:type="spellEnd"/>
      <w:r w:rsidRPr="009F3A30">
        <w:rPr>
          <w:i/>
        </w:rPr>
        <w:t xml:space="preserve"> ML/</w:t>
      </w:r>
      <w:proofErr w:type="spellStart"/>
      <w:r w:rsidRPr="009F3A30">
        <w:rPr>
          <w:i/>
        </w:rPr>
        <w:t>TF</w:t>
      </w:r>
      <w:proofErr w:type="spellEnd"/>
      <w:r w:rsidRPr="009F3A30">
        <w:rPr>
          <w:i/>
        </w:rPr>
        <w:t xml:space="preserve"> </w:t>
      </w:r>
      <w:proofErr w:type="spellStart"/>
      <w:r w:rsidRPr="009F3A30">
        <w:rPr>
          <w:i/>
        </w:rPr>
        <w:t>risks</w:t>
      </w:r>
      <w:proofErr w:type="spellEnd"/>
      <w:r w:rsidRPr="009F3A30">
        <w:rPr>
          <w:i/>
        </w:rPr>
        <w:t xml:space="preserve"> </w:t>
      </w:r>
      <w:proofErr w:type="spellStart"/>
      <w:r w:rsidRPr="009F3A30">
        <w:rPr>
          <w:i/>
        </w:rPr>
        <w:t>affecting</w:t>
      </w:r>
      <w:proofErr w:type="spellEnd"/>
      <w:r w:rsidRPr="009F3A30">
        <w:rPr>
          <w:i/>
        </w:rPr>
        <w:t xml:space="preserve"> </w:t>
      </w:r>
      <w:proofErr w:type="spellStart"/>
      <w:r w:rsidRPr="009F3A30">
        <w:rPr>
          <w:i/>
        </w:rPr>
        <w:t>the</w:t>
      </w:r>
      <w:proofErr w:type="spellEnd"/>
      <w:r w:rsidRPr="009F3A30">
        <w:rPr>
          <w:i/>
        </w:rPr>
        <w:t xml:space="preserve"> </w:t>
      </w:r>
      <w:proofErr w:type="spellStart"/>
      <w:r w:rsidRPr="009F3A30">
        <w:rPr>
          <w:i/>
        </w:rPr>
        <w:t>EU's</w:t>
      </w:r>
      <w:proofErr w:type="spellEnd"/>
      <w:r w:rsidRPr="009F3A30">
        <w:rPr>
          <w:i/>
        </w:rPr>
        <w:t xml:space="preserve"> </w:t>
      </w:r>
      <w:proofErr w:type="spellStart"/>
      <w:r w:rsidRPr="009F3A30">
        <w:rPr>
          <w:i/>
        </w:rPr>
        <w:t>financial</w:t>
      </w:r>
      <w:proofErr w:type="spellEnd"/>
      <w:r w:rsidRPr="009F3A30">
        <w:rPr>
          <w:i/>
        </w:rPr>
        <w:t xml:space="preserve"> sector - 2020 </w:t>
      </w:r>
      <w:proofErr w:type="spellStart"/>
      <w:r w:rsidRPr="009F3A30">
        <w:rPr>
          <w:i/>
        </w:rPr>
        <w:t>Questionnaire</w:t>
      </w:r>
      <w:proofErr w:type="spellEnd"/>
      <w:r w:rsidRPr="009F3A30">
        <w:rPr>
          <w:i/>
        </w:rPr>
        <w:t xml:space="preserve"> Part 2: </w:t>
      </w:r>
      <w:proofErr w:type="spellStart"/>
      <w:r w:rsidRPr="009F3A30">
        <w:rPr>
          <w:i/>
        </w:rPr>
        <w:t>Risk</w:t>
      </w:r>
      <w:proofErr w:type="spellEnd"/>
      <w:r w:rsidRPr="009F3A30">
        <w:rPr>
          <w:i/>
        </w:rPr>
        <w:t xml:space="preserve"> </w:t>
      </w:r>
      <w:proofErr w:type="spellStart"/>
      <w:r w:rsidRPr="009F3A30">
        <w:rPr>
          <w:i/>
        </w:rPr>
        <w:t>Assessments</w:t>
      </w:r>
      <w:proofErr w:type="spellEnd"/>
      <w:r w:rsidRPr="009F3A30">
        <w:t xml:space="preserve">” dokumentumban a szektort érintően </w:t>
      </w:r>
      <w:r w:rsidR="008C1A55">
        <w:t>a szolgáltatók</w:t>
      </w:r>
      <w:r w:rsidRPr="009F3A30">
        <w:t xml:space="preserve"> által alkalmazott kontrolloknál megadott értékelés szerinti összefoglalás.</w:t>
      </w:r>
      <w:r>
        <w:t xml:space="preserve"> </w:t>
      </w:r>
    </w:p>
  </w:footnote>
  <w:footnote w:id="4">
    <w:p w14:paraId="24C7B564" w14:textId="10983D3A" w:rsidR="00C05E03" w:rsidRDefault="00C05E03">
      <w:pPr>
        <w:pStyle w:val="Lbjegyzetszveg"/>
      </w:pPr>
      <w:r>
        <w:rPr>
          <w:rStyle w:val="Lbjegyzet-hivatkozs"/>
        </w:rPr>
        <w:footnoteRef/>
      </w:r>
      <w:r>
        <w:t xml:space="preserve"> </w:t>
      </w:r>
      <w:r w:rsidRPr="00C05E03">
        <w:t>Jelen szektorhoz a pénzforgalmi intézmények tartoznak, azon vállalkozások, amelyek – a vonatkozó jogszabályban foglaltaknak megfelelően – az MNB által kiadott tevékenységi engedéllyel rendelkeznek pénzforgalmi szolgáltatási tevékenység végzésére, de nem rendelkeznek engedéllyel az elektronikuspénz-kibocsátási tevékenység végzésére.</w:t>
      </w:r>
    </w:p>
  </w:footnote>
  <w:footnote w:id="5">
    <w:p w14:paraId="761A00BF" w14:textId="07B7734E" w:rsidR="00741494" w:rsidRDefault="00741494">
      <w:pPr>
        <w:pStyle w:val="Lbjegyzetszveg"/>
      </w:pPr>
      <w:r>
        <w:rPr>
          <w:rStyle w:val="Lbjegyzet-hivatkozs"/>
        </w:rPr>
        <w:footnoteRef/>
      </w:r>
      <w:r>
        <w:t xml:space="preserve"> </w:t>
      </w:r>
      <w:proofErr w:type="spellStart"/>
      <w:r w:rsidRPr="00C315D4">
        <w:t>Pmt</w:t>
      </w:r>
      <w:proofErr w:type="spellEnd"/>
      <w:r w:rsidRPr="00C315D4">
        <w:t>. 1. § (4) bekezdésének a) alpontja</w:t>
      </w:r>
    </w:p>
  </w:footnote>
  <w:footnote w:id="6">
    <w:p w14:paraId="17D317AE" w14:textId="58A33694" w:rsidR="00595624" w:rsidRPr="000222BD" w:rsidRDefault="00595624">
      <w:pPr>
        <w:pStyle w:val="Lbjegyzetszveg"/>
        <w:rPr>
          <w:i/>
          <w:iCs/>
        </w:rPr>
      </w:pPr>
      <w:r>
        <w:rPr>
          <w:rStyle w:val="Lbjegyzet-hivatkozs"/>
        </w:rPr>
        <w:footnoteRef/>
      </w:r>
      <w:r>
        <w:t xml:space="preserve"> </w:t>
      </w:r>
      <w:r w:rsidRPr="00595624">
        <w:t xml:space="preserve">a pénzforgalom lebonyolításáról </w:t>
      </w:r>
      <w:r>
        <w:t xml:space="preserve">szóló </w:t>
      </w:r>
      <w:r w:rsidRPr="00595624">
        <w:t>35/2017. (XII. 14.) MNB rendelet</w:t>
      </w:r>
      <w:r w:rsidR="00400638">
        <w:t xml:space="preserve"> (</w:t>
      </w:r>
      <w:r w:rsidR="00400638" w:rsidRPr="000222BD">
        <w:rPr>
          <w:b/>
          <w:bCs/>
        </w:rPr>
        <w:t>35/2017. (XII. 14.) MNB rendelet</w:t>
      </w:r>
      <w:r w:rsidR="00400638">
        <w:t xml:space="preserve">) </w:t>
      </w:r>
      <w:r>
        <w:t xml:space="preserve">2. § (1) bekezdés </w:t>
      </w:r>
      <w:r w:rsidRPr="00595624">
        <w:t>5.</w:t>
      </w:r>
      <w:r>
        <w:t xml:space="preserve"> pont: </w:t>
      </w:r>
      <w:r w:rsidRPr="000222BD">
        <w:rPr>
          <w:i/>
          <w:iCs/>
        </w:rPr>
        <w:t xml:space="preserve">„fizetési kérelem: a kedvezményezett által a fizető félnek címzett fizetés kezdeményezésére vonatkozó, az azonnali átutalást feldolgozó fizetési rendszerben szabványosított üzenet, amely legalább az azonnali átutalási megbízás megadásához szükséges valamennyi adatot tartalmazza.” </w:t>
      </w:r>
    </w:p>
  </w:footnote>
  <w:footnote w:id="7">
    <w:p w14:paraId="345F56C4" w14:textId="1B23D89D" w:rsidR="009661DC" w:rsidRDefault="009661DC">
      <w:pPr>
        <w:pStyle w:val="Lbjegyzetszveg"/>
      </w:pPr>
      <w:r w:rsidRPr="00A07F4E">
        <w:rPr>
          <w:rStyle w:val="Lbjegyzet-hivatkozs"/>
        </w:rPr>
        <w:footnoteRef/>
      </w:r>
      <w:r w:rsidRPr="00A07F4E">
        <w:t xml:space="preserve"> </w:t>
      </w:r>
      <w:r w:rsidRPr="009F3A30">
        <w:t xml:space="preserve">Az </w:t>
      </w:r>
      <w:proofErr w:type="spellStart"/>
      <w:r w:rsidRPr="009F3A30">
        <w:t>EBA</w:t>
      </w:r>
      <w:proofErr w:type="spellEnd"/>
      <w:r w:rsidRPr="009F3A30">
        <w:t xml:space="preserve"> részére benyújtott, </w:t>
      </w:r>
      <w:r w:rsidR="00134F1E">
        <w:t>az MNB</w:t>
      </w:r>
      <w:r w:rsidRPr="009F3A30">
        <w:t xml:space="preserve"> által kitöltött „</w:t>
      </w:r>
      <w:proofErr w:type="spellStart"/>
      <w:r w:rsidRPr="009F3A30">
        <w:rPr>
          <w:i/>
        </w:rPr>
        <w:t>Opinion</w:t>
      </w:r>
      <w:proofErr w:type="spellEnd"/>
      <w:r w:rsidRPr="009F3A30">
        <w:rPr>
          <w:i/>
        </w:rPr>
        <w:t xml:space="preserve"> </w:t>
      </w:r>
      <w:proofErr w:type="spellStart"/>
      <w:r w:rsidRPr="009F3A30">
        <w:rPr>
          <w:i/>
        </w:rPr>
        <w:t>on</w:t>
      </w:r>
      <w:proofErr w:type="spellEnd"/>
      <w:r w:rsidRPr="009F3A30">
        <w:rPr>
          <w:i/>
        </w:rPr>
        <w:t xml:space="preserve"> </w:t>
      </w:r>
      <w:proofErr w:type="spellStart"/>
      <w:r w:rsidRPr="009F3A30">
        <w:rPr>
          <w:i/>
        </w:rPr>
        <w:t>the</w:t>
      </w:r>
      <w:proofErr w:type="spellEnd"/>
      <w:r w:rsidRPr="009F3A30">
        <w:rPr>
          <w:i/>
        </w:rPr>
        <w:t xml:space="preserve"> ML/</w:t>
      </w:r>
      <w:proofErr w:type="spellStart"/>
      <w:r w:rsidRPr="009F3A30">
        <w:rPr>
          <w:i/>
        </w:rPr>
        <w:t>TF</w:t>
      </w:r>
      <w:proofErr w:type="spellEnd"/>
      <w:r w:rsidRPr="009F3A30">
        <w:rPr>
          <w:i/>
        </w:rPr>
        <w:t xml:space="preserve"> </w:t>
      </w:r>
      <w:proofErr w:type="spellStart"/>
      <w:r w:rsidRPr="009F3A30">
        <w:rPr>
          <w:i/>
        </w:rPr>
        <w:t>risks</w:t>
      </w:r>
      <w:proofErr w:type="spellEnd"/>
      <w:r w:rsidRPr="009F3A30">
        <w:rPr>
          <w:i/>
        </w:rPr>
        <w:t xml:space="preserve"> </w:t>
      </w:r>
      <w:proofErr w:type="spellStart"/>
      <w:r w:rsidRPr="009F3A30">
        <w:rPr>
          <w:i/>
        </w:rPr>
        <w:t>affecting</w:t>
      </w:r>
      <w:proofErr w:type="spellEnd"/>
      <w:r w:rsidRPr="009F3A30">
        <w:rPr>
          <w:i/>
        </w:rPr>
        <w:t xml:space="preserve"> </w:t>
      </w:r>
      <w:proofErr w:type="spellStart"/>
      <w:r w:rsidRPr="009F3A30">
        <w:rPr>
          <w:i/>
        </w:rPr>
        <w:t>the</w:t>
      </w:r>
      <w:proofErr w:type="spellEnd"/>
      <w:r w:rsidRPr="009F3A30">
        <w:rPr>
          <w:i/>
        </w:rPr>
        <w:t xml:space="preserve"> </w:t>
      </w:r>
      <w:proofErr w:type="spellStart"/>
      <w:r w:rsidRPr="009F3A30">
        <w:rPr>
          <w:i/>
        </w:rPr>
        <w:t>EU's</w:t>
      </w:r>
      <w:proofErr w:type="spellEnd"/>
      <w:r w:rsidRPr="009F3A30">
        <w:rPr>
          <w:i/>
        </w:rPr>
        <w:t xml:space="preserve"> </w:t>
      </w:r>
      <w:proofErr w:type="spellStart"/>
      <w:r w:rsidRPr="009F3A30">
        <w:rPr>
          <w:i/>
        </w:rPr>
        <w:t>financial</w:t>
      </w:r>
      <w:proofErr w:type="spellEnd"/>
      <w:r w:rsidRPr="009F3A30">
        <w:rPr>
          <w:i/>
        </w:rPr>
        <w:t xml:space="preserve"> sector - 2020 </w:t>
      </w:r>
      <w:proofErr w:type="spellStart"/>
      <w:r w:rsidRPr="009F3A30">
        <w:rPr>
          <w:i/>
        </w:rPr>
        <w:t>Questionnaire</w:t>
      </w:r>
      <w:proofErr w:type="spellEnd"/>
      <w:r w:rsidRPr="009F3A30">
        <w:rPr>
          <w:i/>
        </w:rPr>
        <w:t xml:space="preserve"> Part 2: </w:t>
      </w:r>
      <w:proofErr w:type="spellStart"/>
      <w:r w:rsidRPr="009F3A30">
        <w:rPr>
          <w:i/>
        </w:rPr>
        <w:t>Risk</w:t>
      </w:r>
      <w:proofErr w:type="spellEnd"/>
      <w:r w:rsidRPr="009F3A30">
        <w:rPr>
          <w:i/>
        </w:rPr>
        <w:t xml:space="preserve"> </w:t>
      </w:r>
      <w:proofErr w:type="spellStart"/>
      <w:r w:rsidRPr="009F3A30">
        <w:rPr>
          <w:i/>
        </w:rPr>
        <w:t>Assessments</w:t>
      </w:r>
      <w:proofErr w:type="spellEnd"/>
      <w:r w:rsidRPr="009F3A30">
        <w:t xml:space="preserve">” dokumentumban a szektort érintően </w:t>
      </w:r>
      <w:r w:rsidR="00A37D9D">
        <w:t>a szolgáltatók</w:t>
      </w:r>
      <w:r w:rsidRPr="009F3A30">
        <w:t xml:space="preserve"> által alkalmazott kontrolloknál megadott értékelés szerinti összefoglalás.</w:t>
      </w:r>
    </w:p>
  </w:footnote>
  <w:footnote w:id="8">
    <w:p w14:paraId="2DC0B12A" w14:textId="643EA3F6" w:rsidR="00B42236" w:rsidRDefault="00B42236">
      <w:pPr>
        <w:pStyle w:val="Lbjegyzetszveg"/>
      </w:pPr>
      <w:r>
        <w:rPr>
          <w:rStyle w:val="Lbjegyzet-hivatkozs"/>
        </w:rPr>
        <w:footnoteRef/>
      </w:r>
      <w:r>
        <w:t xml:space="preserve"> Hpt. 6. § (1) bekezdés 27a pontja alapján: "</w:t>
      </w:r>
      <w:r w:rsidRPr="000222BD">
        <w:rPr>
          <w:i/>
          <w:iCs/>
        </w:rPr>
        <w:t>fizetés-kezdeményezési szolgáltatás:</w:t>
      </w:r>
      <w:r w:rsidRPr="00B42236">
        <w:t xml:space="preserve"> </w:t>
      </w:r>
      <w:r w:rsidRPr="000222BD">
        <w:rPr>
          <w:i/>
          <w:iCs/>
        </w:rPr>
        <w:t>olyan szolgáltatás, amely a pénzforgalmi szolgáltatást igénybe vevő kérésére másik pénzforgalmi szolgáltatónál vezetett fizetési számla vonatkozásában fizetési megbízás indítására szolgál;”</w:t>
      </w:r>
    </w:p>
  </w:footnote>
  <w:footnote w:id="9">
    <w:p w14:paraId="6D070282" w14:textId="77777777" w:rsidR="00B42236" w:rsidRPr="00A32F39" w:rsidRDefault="00B42236" w:rsidP="00B42236">
      <w:pPr>
        <w:pStyle w:val="Lbjegyzetszveg"/>
        <w:rPr>
          <w:i/>
          <w:iCs/>
        </w:rPr>
      </w:pPr>
      <w:r>
        <w:rPr>
          <w:rStyle w:val="Lbjegyzet-hivatkozs"/>
        </w:rPr>
        <w:footnoteRef/>
      </w:r>
      <w:r>
        <w:t xml:space="preserve"> Hpt. 6. § (1) bekezdés 101a pontja alapján: </w:t>
      </w:r>
      <w:r w:rsidRPr="00A32F39">
        <w:rPr>
          <w:i/>
          <w:iCs/>
        </w:rPr>
        <w:t>„számlainformációs szolgáltatás: olyan online szolgáltatás, amely összesített információk nyújtására szolgál egy vagy több olyan fizetési számláról, amelyet a pénzforgalmi szolgáltatást igénybe vevő egy másik pénzforgalmi szolgáltatónál vagy több pénzforgalmi szolgáltatónál nyitott;”</w:t>
      </w:r>
    </w:p>
  </w:footnote>
  <w:footnote w:id="10">
    <w:p w14:paraId="1C15117D" w14:textId="3CD28619" w:rsidR="00551FEE" w:rsidRDefault="00551FEE">
      <w:pPr>
        <w:pStyle w:val="Lbjegyzetszveg"/>
      </w:pPr>
      <w:r>
        <w:rPr>
          <w:rStyle w:val="Lbjegyzet-hivatkozs"/>
        </w:rPr>
        <w:footnoteRef/>
      </w:r>
      <w:r>
        <w:t xml:space="preserve"> </w:t>
      </w:r>
      <w:r w:rsidRPr="000222BD">
        <w:t>Az elektronikuspénz-kibocsátási tevékenységet az MNB engedélyével végző elektronikuspénz-kibocsátó intézmény.</w:t>
      </w:r>
    </w:p>
  </w:footnote>
  <w:footnote w:id="11">
    <w:p w14:paraId="663DDE97" w14:textId="4AD77FE8" w:rsidR="00F33903" w:rsidRDefault="00F33903">
      <w:pPr>
        <w:pStyle w:val="Lbjegyzetszveg"/>
      </w:pPr>
      <w:r>
        <w:rPr>
          <w:rStyle w:val="Lbjegyzet-hivatkozs"/>
        </w:rPr>
        <w:footnoteRef/>
      </w:r>
      <w:r>
        <w:t xml:space="preserve"> </w:t>
      </w:r>
      <w:r w:rsidR="00604F0C" w:rsidRPr="00604F0C">
        <w:t xml:space="preserve">a pénzügyi rendszerek </w:t>
      </w:r>
      <w:proofErr w:type="spellStart"/>
      <w:r w:rsidR="00604F0C" w:rsidRPr="00604F0C">
        <w:t>pénzmosás</w:t>
      </w:r>
      <w:proofErr w:type="spellEnd"/>
      <w:r w:rsidR="00604F0C" w:rsidRPr="00604F0C">
        <w:t xml:space="preserve"> vagy terrorizmusfinanszírozás céljára való elhasználásának megelőzéséről, a 648/2012/EU európai parlamenti és tanácsi rendelet módosításáról, valamint a 2005/60/EK európai parlamenti és tanácsi irányelv és a 2006/70/EK bizottsági irányelv hatályon kívül helyezéséről szóló 2015/849/EU Európai Parlamenti és a Tanácsi 2015. május 20-i irányelv</w:t>
      </w:r>
      <w:r w:rsidR="00604F0C">
        <w:t xml:space="preserve">e </w:t>
      </w:r>
      <w:r w:rsidR="002B0B30">
        <w:t>(</w:t>
      </w:r>
      <w:r w:rsidR="002B0B30" w:rsidRPr="008B2356">
        <w:rPr>
          <w:b/>
          <w:bCs/>
        </w:rPr>
        <w:t>Irányelv</w:t>
      </w:r>
      <w:r w:rsidR="002B0B30">
        <w:t>)</w:t>
      </w:r>
    </w:p>
  </w:footnote>
  <w:footnote w:id="12">
    <w:p w14:paraId="13D68ACF" w14:textId="67A5AB8E" w:rsidR="00284D88" w:rsidRDefault="00284D88">
      <w:pPr>
        <w:pStyle w:val="Lbjegyzetszveg"/>
      </w:pPr>
      <w:r>
        <w:rPr>
          <w:rStyle w:val="Lbjegyzet-hivatkozs"/>
        </w:rPr>
        <w:footnoteRef/>
      </w:r>
      <w:r>
        <w:t xml:space="preserve"> A </w:t>
      </w:r>
      <w:proofErr w:type="spellStart"/>
      <w:r w:rsidRPr="00284D88">
        <w:t>Pmt</w:t>
      </w:r>
      <w:proofErr w:type="spellEnd"/>
      <w:r w:rsidRPr="00284D88">
        <w:t>. 3. § 30. pont</w:t>
      </w:r>
      <w:r>
        <w:t xml:space="preserve">jában meghatározott pénzváltó irodát jelenti. </w:t>
      </w:r>
    </w:p>
  </w:footnote>
  <w:footnote w:id="13">
    <w:p w14:paraId="76F9323C" w14:textId="1362ED6B" w:rsidR="005849AD" w:rsidRDefault="005849AD">
      <w:pPr>
        <w:pStyle w:val="Lbjegyzetszveg"/>
      </w:pPr>
      <w:r>
        <w:rPr>
          <w:rStyle w:val="Lbjegyzet-hivatkozs"/>
        </w:rPr>
        <w:footnoteRef/>
      </w:r>
      <w:r>
        <w:t xml:space="preserve"> A Hpt. </w:t>
      </w:r>
      <w:r w:rsidRPr="00BC05C3">
        <w:t>6. § (1)</w:t>
      </w:r>
      <w:r>
        <w:t xml:space="preserve"> 90. pont a) alpontja szerinti kiemelt közvetítői tevékenységet jelenti.</w:t>
      </w:r>
    </w:p>
  </w:footnote>
  <w:footnote w:id="14">
    <w:p w14:paraId="5B8591CB" w14:textId="21593E9E" w:rsidR="00307BA5" w:rsidRDefault="00307BA5">
      <w:pPr>
        <w:pStyle w:val="Lbjegyzetszveg"/>
      </w:pPr>
      <w:r>
        <w:rPr>
          <w:rStyle w:val="Lbjegyzet-hivatkozs"/>
        </w:rPr>
        <w:footnoteRef/>
      </w:r>
      <w:r>
        <w:t xml:space="preserve"> A </w:t>
      </w:r>
      <w:r w:rsidRPr="00834F5F">
        <w:t>Hpt. 3</w:t>
      </w:r>
      <w:r w:rsidRPr="00307BA5">
        <w:t>. § (</w:t>
      </w:r>
      <w:r>
        <w:t>2</w:t>
      </w:r>
      <w:r w:rsidRPr="00307BA5">
        <w:t>)</w:t>
      </w:r>
      <w:r>
        <w:t xml:space="preserve"> a) pontja alapján. </w:t>
      </w:r>
    </w:p>
  </w:footnote>
  <w:footnote w:id="15">
    <w:p w14:paraId="51BCFD94" w14:textId="1170A8CF" w:rsidR="00204494" w:rsidRDefault="00204494">
      <w:pPr>
        <w:pStyle w:val="Lbjegyzetszveg"/>
      </w:pPr>
      <w:r>
        <w:rPr>
          <w:rStyle w:val="Lbjegyzet-hivatkozs"/>
        </w:rPr>
        <w:footnoteRef/>
      </w:r>
      <w:r>
        <w:t xml:space="preserve"> </w:t>
      </w:r>
      <w:r w:rsidR="003226B8" w:rsidRPr="003226B8">
        <w:t>a Büntető Törvénykönyvről</w:t>
      </w:r>
      <w:r w:rsidR="003226B8">
        <w:t xml:space="preserve"> szóló </w:t>
      </w:r>
      <w:r w:rsidR="003226B8" w:rsidRPr="003226B8">
        <w:t>2012. évi C. törvény</w:t>
      </w:r>
      <w:r w:rsidR="003226B8">
        <w:t xml:space="preserve"> </w:t>
      </w:r>
      <w:r w:rsidRPr="00204494">
        <w:t>396. §</w:t>
      </w:r>
      <w:r>
        <w:t xml:space="preserve"> (1)</w:t>
      </w:r>
      <w:r w:rsidR="003226B8">
        <w:t xml:space="preserve"> bekezdése</w:t>
      </w:r>
    </w:p>
  </w:footnote>
  <w:footnote w:id="16">
    <w:p w14:paraId="65FD97A7" w14:textId="2509AE15" w:rsidR="009661DC" w:rsidRDefault="009661DC">
      <w:pPr>
        <w:pStyle w:val="Lbjegyzetszveg"/>
      </w:pPr>
      <w:r w:rsidRPr="00A07F4E">
        <w:rPr>
          <w:rStyle w:val="Lbjegyzet-hivatkozs"/>
        </w:rPr>
        <w:footnoteRef/>
      </w:r>
      <w:r w:rsidRPr="00A07F4E">
        <w:t xml:space="preserve"> </w:t>
      </w:r>
      <w:r w:rsidRPr="009F3A30">
        <w:t xml:space="preserve">Az </w:t>
      </w:r>
      <w:proofErr w:type="spellStart"/>
      <w:r w:rsidRPr="009F3A30">
        <w:t>EBA</w:t>
      </w:r>
      <w:proofErr w:type="spellEnd"/>
      <w:r w:rsidRPr="009F3A30">
        <w:t xml:space="preserve"> részére benyújtott, </w:t>
      </w:r>
      <w:r w:rsidR="005B3349">
        <w:t>az MNB</w:t>
      </w:r>
      <w:r w:rsidRPr="009F3A30">
        <w:t xml:space="preserve"> által kitöltött „</w:t>
      </w:r>
      <w:proofErr w:type="spellStart"/>
      <w:r w:rsidRPr="009F3A30">
        <w:rPr>
          <w:i/>
        </w:rPr>
        <w:t>Opinion</w:t>
      </w:r>
      <w:proofErr w:type="spellEnd"/>
      <w:r w:rsidRPr="009F3A30">
        <w:rPr>
          <w:i/>
        </w:rPr>
        <w:t xml:space="preserve"> </w:t>
      </w:r>
      <w:proofErr w:type="spellStart"/>
      <w:r w:rsidRPr="009F3A30">
        <w:rPr>
          <w:i/>
        </w:rPr>
        <w:t>on</w:t>
      </w:r>
      <w:proofErr w:type="spellEnd"/>
      <w:r w:rsidRPr="009F3A30">
        <w:rPr>
          <w:i/>
        </w:rPr>
        <w:t xml:space="preserve"> </w:t>
      </w:r>
      <w:proofErr w:type="spellStart"/>
      <w:r w:rsidRPr="009F3A30">
        <w:rPr>
          <w:i/>
        </w:rPr>
        <w:t>the</w:t>
      </w:r>
      <w:proofErr w:type="spellEnd"/>
      <w:r w:rsidRPr="009F3A30">
        <w:rPr>
          <w:i/>
        </w:rPr>
        <w:t xml:space="preserve"> ML/</w:t>
      </w:r>
      <w:proofErr w:type="spellStart"/>
      <w:r w:rsidRPr="009F3A30">
        <w:rPr>
          <w:i/>
        </w:rPr>
        <w:t>TF</w:t>
      </w:r>
      <w:proofErr w:type="spellEnd"/>
      <w:r w:rsidRPr="009F3A30">
        <w:rPr>
          <w:i/>
        </w:rPr>
        <w:t xml:space="preserve"> </w:t>
      </w:r>
      <w:proofErr w:type="spellStart"/>
      <w:r w:rsidRPr="009F3A30">
        <w:rPr>
          <w:i/>
        </w:rPr>
        <w:t>risks</w:t>
      </w:r>
      <w:proofErr w:type="spellEnd"/>
      <w:r w:rsidRPr="009F3A30">
        <w:rPr>
          <w:i/>
        </w:rPr>
        <w:t xml:space="preserve"> </w:t>
      </w:r>
      <w:proofErr w:type="spellStart"/>
      <w:r w:rsidRPr="009F3A30">
        <w:rPr>
          <w:i/>
        </w:rPr>
        <w:t>affecting</w:t>
      </w:r>
      <w:proofErr w:type="spellEnd"/>
      <w:r w:rsidRPr="009F3A30">
        <w:rPr>
          <w:i/>
        </w:rPr>
        <w:t xml:space="preserve"> </w:t>
      </w:r>
      <w:proofErr w:type="spellStart"/>
      <w:r w:rsidRPr="009F3A30">
        <w:rPr>
          <w:i/>
        </w:rPr>
        <w:t>the</w:t>
      </w:r>
      <w:proofErr w:type="spellEnd"/>
      <w:r w:rsidRPr="009F3A30">
        <w:rPr>
          <w:i/>
        </w:rPr>
        <w:t xml:space="preserve"> </w:t>
      </w:r>
      <w:proofErr w:type="spellStart"/>
      <w:r w:rsidRPr="009F3A30">
        <w:rPr>
          <w:i/>
        </w:rPr>
        <w:t>EU's</w:t>
      </w:r>
      <w:proofErr w:type="spellEnd"/>
      <w:r w:rsidRPr="009F3A30">
        <w:rPr>
          <w:i/>
        </w:rPr>
        <w:t xml:space="preserve"> </w:t>
      </w:r>
      <w:proofErr w:type="spellStart"/>
      <w:r w:rsidRPr="009F3A30">
        <w:rPr>
          <w:i/>
        </w:rPr>
        <w:t>financial</w:t>
      </w:r>
      <w:proofErr w:type="spellEnd"/>
      <w:r w:rsidRPr="009F3A30">
        <w:rPr>
          <w:i/>
        </w:rPr>
        <w:t xml:space="preserve"> sector - 2020 </w:t>
      </w:r>
      <w:proofErr w:type="spellStart"/>
      <w:r w:rsidRPr="009F3A30">
        <w:rPr>
          <w:i/>
        </w:rPr>
        <w:t>Questionnaire</w:t>
      </w:r>
      <w:proofErr w:type="spellEnd"/>
      <w:r w:rsidRPr="009F3A30">
        <w:rPr>
          <w:i/>
        </w:rPr>
        <w:t xml:space="preserve"> Part 2: </w:t>
      </w:r>
      <w:proofErr w:type="spellStart"/>
      <w:r w:rsidRPr="009F3A30">
        <w:rPr>
          <w:i/>
        </w:rPr>
        <w:t>Risk</w:t>
      </w:r>
      <w:proofErr w:type="spellEnd"/>
      <w:r w:rsidRPr="009F3A30">
        <w:rPr>
          <w:i/>
        </w:rPr>
        <w:t xml:space="preserve"> </w:t>
      </w:r>
      <w:proofErr w:type="spellStart"/>
      <w:r w:rsidRPr="009F3A30">
        <w:rPr>
          <w:i/>
        </w:rPr>
        <w:t>Assessments</w:t>
      </w:r>
      <w:proofErr w:type="spellEnd"/>
      <w:r w:rsidRPr="009F3A30">
        <w:t xml:space="preserve">” dokumentumban a szektort érintően </w:t>
      </w:r>
      <w:r w:rsidR="008C1A55">
        <w:t>a szolgáltatók</w:t>
      </w:r>
      <w:r w:rsidRPr="009F3A30">
        <w:t xml:space="preserve"> által alkalmazott kontrolloknál megadott értékelés szerinti összefoglalás.</w:t>
      </w:r>
    </w:p>
  </w:footnote>
  <w:footnote w:id="17">
    <w:p w14:paraId="2BDA9852" w14:textId="5C3602B4" w:rsidR="004A0FFC" w:rsidRDefault="004A0FFC" w:rsidP="00A120C2">
      <w:pPr>
        <w:pStyle w:val="Lbjegyzetszveg"/>
        <w:spacing w:after="0" w:line="240" w:lineRule="auto"/>
      </w:pPr>
      <w:r w:rsidRPr="00A120C2">
        <w:footnoteRef/>
      </w:r>
      <w:r>
        <w:t xml:space="preserve"> </w:t>
      </w:r>
      <w:r w:rsidR="00D764CE" w:rsidRPr="00D764CE">
        <w:t xml:space="preserve">a kollektív befektetési formákról és kezelőikről, valamint egyes pénzügyi tárgyú törvények módosításáról </w:t>
      </w:r>
      <w:r w:rsidR="00D764CE">
        <w:t xml:space="preserve">szóló </w:t>
      </w:r>
      <w:r w:rsidR="00D764CE" w:rsidRPr="00D764CE">
        <w:t xml:space="preserve">2014. évi XVI. törvény </w:t>
      </w:r>
      <w:r w:rsidR="00D764CE">
        <w:t>(</w:t>
      </w:r>
      <w:proofErr w:type="spellStart"/>
      <w:r w:rsidRPr="00A120C2">
        <w:rPr>
          <w:b/>
          <w:bCs/>
        </w:rPr>
        <w:t>Kbftv</w:t>
      </w:r>
      <w:proofErr w:type="spellEnd"/>
      <w:r w:rsidRPr="00A120C2">
        <w:rPr>
          <w:b/>
          <w:bCs/>
        </w:rPr>
        <w:t>.</w:t>
      </w:r>
      <w:r w:rsidR="00D764CE">
        <w:t>)</w:t>
      </w:r>
      <w:r w:rsidRPr="00A120C2">
        <w:t xml:space="preserve"> 4. § (1) 18. pontja szerint meghatározott tevékenység. </w:t>
      </w:r>
    </w:p>
  </w:footnote>
  <w:footnote w:id="18">
    <w:p w14:paraId="2EA2E6FB" w14:textId="71FA322A" w:rsidR="004A0FFC" w:rsidRDefault="004A0FFC" w:rsidP="00A120C2">
      <w:pPr>
        <w:pStyle w:val="Lbjegyzetszveg"/>
        <w:spacing w:after="0" w:line="240" w:lineRule="auto"/>
      </w:pPr>
      <w:r w:rsidRPr="00A120C2">
        <w:footnoteRef/>
      </w:r>
      <w:r>
        <w:t xml:space="preserve"> </w:t>
      </w:r>
      <w:proofErr w:type="spellStart"/>
      <w:r w:rsidRPr="00A120C2">
        <w:t>Kbftv</w:t>
      </w:r>
      <w:proofErr w:type="spellEnd"/>
      <w:r w:rsidRPr="00A120C2">
        <w:t xml:space="preserve">. 4. § (1) 9. pontja rendszeres gazdasági tevékenységként egy vagy több </w:t>
      </w:r>
      <w:proofErr w:type="spellStart"/>
      <w:r w:rsidRPr="00A120C2">
        <w:t>ÁÉKBV</w:t>
      </w:r>
      <w:proofErr w:type="spellEnd"/>
      <w:r w:rsidRPr="00A120C2">
        <w:t>-t kezelő befektetési alapkezelő.</w:t>
      </w:r>
    </w:p>
  </w:footnote>
  <w:footnote w:id="19">
    <w:p w14:paraId="6E95CCB7" w14:textId="5FEF4FDB" w:rsidR="004A0FFC" w:rsidRDefault="004A0FFC" w:rsidP="00A120C2">
      <w:pPr>
        <w:pStyle w:val="Lbjegyzetszveg"/>
        <w:spacing w:after="0" w:line="240" w:lineRule="auto"/>
      </w:pPr>
      <w:r w:rsidRPr="00A120C2">
        <w:footnoteRef/>
      </w:r>
      <w:r>
        <w:t xml:space="preserve"> </w:t>
      </w:r>
      <w:proofErr w:type="spellStart"/>
      <w:r w:rsidRPr="00A120C2">
        <w:t>Kbftv</w:t>
      </w:r>
      <w:proofErr w:type="spellEnd"/>
      <w:r w:rsidRPr="00A120C2">
        <w:t>. 4. § (1) 2. pontja szerint az alternatív befektetési alapkezelő, azaz rendszeres gazdasági tevékenységként egy vagy több ABA-t kezelő befektetési alapkezelő.</w:t>
      </w:r>
    </w:p>
  </w:footnote>
  <w:footnote w:id="20">
    <w:p w14:paraId="7C04DAAC" w14:textId="48FF9D1F" w:rsidR="004A0FFC" w:rsidRDefault="004A0FFC" w:rsidP="00A120C2">
      <w:pPr>
        <w:pStyle w:val="Lbjegyzetszveg"/>
        <w:spacing w:after="0" w:line="240" w:lineRule="auto"/>
      </w:pPr>
      <w:r w:rsidRPr="00A120C2">
        <w:footnoteRef/>
      </w:r>
      <w:r>
        <w:t xml:space="preserve"> </w:t>
      </w:r>
      <w:proofErr w:type="spellStart"/>
      <w:r w:rsidRPr="00A120C2">
        <w:t>Kbftv</w:t>
      </w:r>
      <w:proofErr w:type="spellEnd"/>
      <w:r w:rsidRPr="00A120C2">
        <w:t>. 4. § (1) 62. pont.</w:t>
      </w:r>
    </w:p>
  </w:footnote>
  <w:footnote w:id="21">
    <w:p w14:paraId="10CF8CD4" w14:textId="6CC89FF5" w:rsidR="009661DC" w:rsidRDefault="009661DC">
      <w:pPr>
        <w:pStyle w:val="Lbjegyzetszveg"/>
      </w:pPr>
      <w:r>
        <w:rPr>
          <w:rStyle w:val="Lbjegyzet-hivatkozs"/>
        </w:rPr>
        <w:footnoteRef/>
      </w:r>
      <w:r>
        <w:t xml:space="preserve"> </w:t>
      </w:r>
      <w:r w:rsidRPr="00D9509F">
        <w:t xml:space="preserve">Az </w:t>
      </w:r>
      <w:proofErr w:type="spellStart"/>
      <w:r w:rsidRPr="00D9509F">
        <w:t>EBA</w:t>
      </w:r>
      <w:proofErr w:type="spellEnd"/>
      <w:r w:rsidRPr="00D9509F">
        <w:t xml:space="preserve"> részére benyújtott, a</w:t>
      </w:r>
      <w:r w:rsidR="00626F9B">
        <w:t>z MNB</w:t>
      </w:r>
      <w:r w:rsidRPr="00D9509F">
        <w:t xml:space="preserve"> által kitöltött „</w:t>
      </w:r>
      <w:proofErr w:type="spellStart"/>
      <w:r w:rsidRPr="00D9509F">
        <w:t>Opinion</w:t>
      </w:r>
      <w:proofErr w:type="spellEnd"/>
      <w:r w:rsidRPr="00D9509F">
        <w:t xml:space="preserve"> </w:t>
      </w:r>
      <w:proofErr w:type="spellStart"/>
      <w:r w:rsidRPr="00D9509F">
        <w:t>on</w:t>
      </w:r>
      <w:proofErr w:type="spellEnd"/>
      <w:r w:rsidRPr="00D9509F">
        <w:t xml:space="preserve"> </w:t>
      </w:r>
      <w:proofErr w:type="spellStart"/>
      <w:r w:rsidRPr="00D9509F">
        <w:t>the</w:t>
      </w:r>
      <w:proofErr w:type="spellEnd"/>
      <w:r w:rsidRPr="00D9509F">
        <w:t xml:space="preserve"> ML/</w:t>
      </w:r>
      <w:proofErr w:type="spellStart"/>
      <w:r w:rsidRPr="00D9509F">
        <w:t>TF</w:t>
      </w:r>
      <w:proofErr w:type="spellEnd"/>
      <w:r w:rsidRPr="00D9509F">
        <w:t xml:space="preserve"> </w:t>
      </w:r>
      <w:proofErr w:type="spellStart"/>
      <w:r w:rsidRPr="00D9509F">
        <w:t>risks</w:t>
      </w:r>
      <w:proofErr w:type="spellEnd"/>
      <w:r w:rsidRPr="00D9509F">
        <w:t xml:space="preserve"> </w:t>
      </w:r>
      <w:proofErr w:type="spellStart"/>
      <w:r w:rsidRPr="00D9509F">
        <w:t>affecting</w:t>
      </w:r>
      <w:proofErr w:type="spellEnd"/>
      <w:r w:rsidRPr="00D9509F">
        <w:t xml:space="preserve"> </w:t>
      </w:r>
      <w:proofErr w:type="spellStart"/>
      <w:r w:rsidRPr="00D9509F">
        <w:t>the</w:t>
      </w:r>
      <w:proofErr w:type="spellEnd"/>
      <w:r w:rsidRPr="00D9509F">
        <w:t xml:space="preserve"> </w:t>
      </w:r>
      <w:proofErr w:type="spellStart"/>
      <w:r w:rsidRPr="00D9509F">
        <w:t>EU's</w:t>
      </w:r>
      <w:proofErr w:type="spellEnd"/>
      <w:r w:rsidRPr="00D9509F">
        <w:t xml:space="preserve"> </w:t>
      </w:r>
      <w:proofErr w:type="spellStart"/>
      <w:r w:rsidRPr="00D9509F">
        <w:t>financial</w:t>
      </w:r>
      <w:proofErr w:type="spellEnd"/>
      <w:r w:rsidRPr="00D9509F">
        <w:t xml:space="preserve"> sector - 2020 </w:t>
      </w:r>
      <w:proofErr w:type="spellStart"/>
      <w:r w:rsidRPr="00D9509F">
        <w:t>Questionnaire</w:t>
      </w:r>
      <w:proofErr w:type="spellEnd"/>
      <w:r w:rsidRPr="00D9509F">
        <w:t xml:space="preserve"> Part 2: </w:t>
      </w:r>
      <w:proofErr w:type="spellStart"/>
      <w:r w:rsidRPr="00D9509F">
        <w:t>Risk</w:t>
      </w:r>
      <w:proofErr w:type="spellEnd"/>
      <w:r w:rsidRPr="00D9509F">
        <w:t xml:space="preserve"> </w:t>
      </w:r>
      <w:proofErr w:type="spellStart"/>
      <w:r w:rsidRPr="00D9509F">
        <w:t>Assessments</w:t>
      </w:r>
      <w:proofErr w:type="spellEnd"/>
      <w:r w:rsidRPr="00D9509F">
        <w:t>” dokumentumban a szektort érintően a</w:t>
      </w:r>
      <w:r w:rsidR="008C1A55">
        <w:t xml:space="preserve"> szolgáltatók </w:t>
      </w:r>
      <w:r w:rsidRPr="00D9509F">
        <w:t>által alkalmazott kontrol</w:t>
      </w:r>
      <w:r>
        <w:t>l</w:t>
      </w:r>
      <w:r w:rsidRPr="00D9509F">
        <w:t>oknál megadott értékelés alapján.</w:t>
      </w:r>
    </w:p>
  </w:footnote>
  <w:footnote w:id="22">
    <w:p w14:paraId="14911520" w14:textId="661C592B" w:rsidR="005A0DC6" w:rsidRDefault="005A0DC6">
      <w:pPr>
        <w:pStyle w:val="Lbjegyzetszveg"/>
      </w:pPr>
      <w:r>
        <w:rPr>
          <w:rStyle w:val="Lbjegyzet-hivatkozs"/>
        </w:rPr>
        <w:footnoteRef/>
      </w:r>
      <w:r>
        <w:t xml:space="preserve"> A </w:t>
      </w:r>
      <w:r w:rsidR="00D764CE">
        <w:t>Hpt.</w:t>
      </w:r>
      <w:r w:rsidRPr="005A0DC6">
        <w:t xml:space="preserve"> hatálya alá tartoznak.</w:t>
      </w:r>
    </w:p>
  </w:footnote>
  <w:footnote w:id="23">
    <w:p w14:paraId="77863FD9" w14:textId="6A2EC6D7" w:rsidR="00E62390" w:rsidRPr="00ED3797" w:rsidRDefault="00E62390" w:rsidP="00E62390">
      <w:pPr>
        <w:pStyle w:val="Lbjegyzetszveg"/>
        <w:rPr>
          <w:rFonts w:ascii="Garamond" w:hAnsi="Garamond"/>
        </w:rPr>
      </w:pPr>
      <w:r w:rsidRPr="00ED3797">
        <w:rPr>
          <w:rStyle w:val="Lbjegyzet-hivatkozs"/>
          <w:rFonts w:ascii="Garamond" w:hAnsi="Garamond"/>
        </w:rPr>
        <w:footnoteRef/>
      </w:r>
      <w:r w:rsidRPr="00ED3797">
        <w:rPr>
          <w:rFonts w:ascii="Garamond" w:hAnsi="Garamond"/>
        </w:rPr>
        <w:t xml:space="preserve"> </w:t>
      </w:r>
      <w:r w:rsidRPr="00FC37B3">
        <w:t xml:space="preserve">E megállapítások háttereként ld. az Európai Bizottság által 2019-ben kiadott </w:t>
      </w:r>
      <w:r w:rsidR="00154765" w:rsidRPr="00154765">
        <w:t>Szupranacionális kockázatértékelés</w:t>
      </w:r>
      <w:r w:rsidRPr="00FC37B3">
        <w:t xml:space="preserve"> releváns részeit.</w:t>
      </w:r>
    </w:p>
  </w:footnote>
  <w:footnote w:id="24">
    <w:p w14:paraId="055A5026" w14:textId="0A85C914" w:rsidR="009661DC" w:rsidRDefault="009661DC">
      <w:pPr>
        <w:pStyle w:val="Lbjegyzetszveg"/>
      </w:pPr>
      <w:r>
        <w:rPr>
          <w:rStyle w:val="Lbjegyzet-hivatkozs"/>
        </w:rPr>
        <w:footnoteRef/>
      </w:r>
      <w:r>
        <w:t xml:space="preserve"> </w:t>
      </w:r>
      <w:r w:rsidRPr="009F3A30">
        <w:t xml:space="preserve">Az </w:t>
      </w:r>
      <w:proofErr w:type="spellStart"/>
      <w:r w:rsidRPr="009F3A30">
        <w:t>EBA</w:t>
      </w:r>
      <w:proofErr w:type="spellEnd"/>
      <w:r w:rsidRPr="009F3A30">
        <w:t xml:space="preserve"> részére benyújtott, </w:t>
      </w:r>
      <w:r w:rsidR="005272DC">
        <w:t>az MNB</w:t>
      </w:r>
      <w:r w:rsidRPr="009F3A30">
        <w:t xml:space="preserve"> által kitöltött „</w:t>
      </w:r>
      <w:proofErr w:type="spellStart"/>
      <w:r w:rsidRPr="009F3A30">
        <w:rPr>
          <w:i/>
        </w:rPr>
        <w:t>Opinion</w:t>
      </w:r>
      <w:proofErr w:type="spellEnd"/>
      <w:r w:rsidRPr="009F3A30">
        <w:rPr>
          <w:i/>
        </w:rPr>
        <w:t xml:space="preserve"> </w:t>
      </w:r>
      <w:proofErr w:type="spellStart"/>
      <w:r w:rsidRPr="009F3A30">
        <w:rPr>
          <w:i/>
        </w:rPr>
        <w:t>on</w:t>
      </w:r>
      <w:proofErr w:type="spellEnd"/>
      <w:r w:rsidRPr="009F3A30">
        <w:rPr>
          <w:i/>
        </w:rPr>
        <w:t xml:space="preserve"> </w:t>
      </w:r>
      <w:proofErr w:type="spellStart"/>
      <w:r w:rsidRPr="009F3A30">
        <w:rPr>
          <w:i/>
        </w:rPr>
        <w:t>the</w:t>
      </w:r>
      <w:proofErr w:type="spellEnd"/>
      <w:r w:rsidRPr="009F3A30">
        <w:rPr>
          <w:i/>
        </w:rPr>
        <w:t xml:space="preserve"> ML/</w:t>
      </w:r>
      <w:proofErr w:type="spellStart"/>
      <w:r w:rsidRPr="009F3A30">
        <w:rPr>
          <w:i/>
        </w:rPr>
        <w:t>TF</w:t>
      </w:r>
      <w:proofErr w:type="spellEnd"/>
      <w:r w:rsidRPr="009F3A30">
        <w:rPr>
          <w:i/>
        </w:rPr>
        <w:t xml:space="preserve"> </w:t>
      </w:r>
      <w:proofErr w:type="spellStart"/>
      <w:r w:rsidRPr="009F3A30">
        <w:rPr>
          <w:i/>
        </w:rPr>
        <w:t>risks</w:t>
      </w:r>
      <w:proofErr w:type="spellEnd"/>
      <w:r w:rsidRPr="009F3A30">
        <w:rPr>
          <w:i/>
        </w:rPr>
        <w:t xml:space="preserve"> </w:t>
      </w:r>
      <w:proofErr w:type="spellStart"/>
      <w:r w:rsidRPr="009F3A30">
        <w:rPr>
          <w:i/>
        </w:rPr>
        <w:t>affecting</w:t>
      </w:r>
      <w:proofErr w:type="spellEnd"/>
      <w:r w:rsidRPr="009F3A30">
        <w:rPr>
          <w:i/>
        </w:rPr>
        <w:t xml:space="preserve"> </w:t>
      </w:r>
      <w:proofErr w:type="spellStart"/>
      <w:r w:rsidRPr="009F3A30">
        <w:rPr>
          <w:i/>
        </w:rPr>
        <w:t>the</w:t>
      </w:r>
      <w:proofErr w:type="spellEnd"/>
      <w:r w:rsidRPr="009F3A30">
        <w:rPr>
          <w:i/>
        </w:rPr>
        <w:t xml:space="preserve"> </w:t>
      </w:r>
      <w:proofErr w:type="spellStart"/>
      <w:r w:rsidRPr="009F3A30">
        <w:rPr>
          <w:i/>
        </w:rPr>
        <w:t>EU's</w:t>
      </w:r>
      <w:proofErr w:type="spellEnd"/>
      <w:r w:rsidRPr="009F3A30">
        <w:rPr>
          <w:i/>
        </w:rPr>
        <w:t xml:space="preserve"> </w:t>
      </w:r>
      <w:proofErr w:type="spellStart"/>
      <w:r w:rsidRPr="009F3A30">
        <w:rPr>
          <w:i/>
        </w:rPr>
        <w:t>financial</w:t>
      </w:r>
      <w:proofErr w:type="spellEnd"/>
      <w:r w:rsidRPr="009F3A30">
        <w:rPr>
          <w:i/>
        </w:rPr>
        <w:t xml:space="preserve"> sector - 2020 </w:t>
      </w:r>
      <w:proofErr w:type="spellStart"/>
      <w:r w:rsidRPr="009F3A30">
        <w:rPr>
          <w:i/>
        </w:rPr>
        <w:t>Questionnaire</w:t>
      </w:r>
      <w:proofErr w:type="spellEnd"/>
      <w:r w:rsidRPr="009F3A30">
        <w:rPr>
          <w:i/>
        </w:rPr>
        <w:t xml:space="preserve"> Part 2: </w:t>
      </w:r>
      <w:proofErr w:type="spellStart"/>
      <w:r w:rsidRPr="009F3A30">
        <w:rPr>
          <w:i/>
        </w:rPr>
        <w:t>Risk</w:t>
      </w:r>
      <w:proofErr w:type="spellEnd"/>
      <w:r w:rsidRPr="009F3A30">
        <w:rPr>
          <w:i/>
        </w:rPr>
        <w:t xml:space="preserve"> </w:t>
      </w:r>
      <w:proofErr w:type="spellStart"/>
      <w:r w:rsidRPr="009F3A30">
        <w:rPr>
          <w:i/>
        </w:rPr>
        <w:t>Assessments</w:t>
      </w:r>
      <w:proofErr w:type="spellEnd"/>
      <w:r w:rsidRPr="009F3A30">
        <w:t xml:space="preserve">” dokumentumban a szektort érintően </w:t>
      </w:r>
      <w:r w:rsidR="008C1A55">
        <w:t>a szolgáltatók</w:t>
      </w:r>
      <w:r w:rsidRPr="009F3A30">
        <w:t xml:space="preserve"> által alkalmazott kontrolloknál megadott értékelés szerinti összefoglalás.</w:t>
      </w:r>
    </w:p>
  </w:footnote>
  <w:footnote w:id="25">
    <w:p w14:paraId="74C17EF1" w14:textId="08D41AC0" w:rsidR="009661DC" w:rsidRDefault="009661DC">
      <w:pPr>
        <w:pStyle w:val="Lbjegyzetszveg"/>
      </w:pPr>
      <w:r w:rsidRPr="00A07F4E">
        <w:rPr>
          <w:rStyle w:val="Lbjegyzet-hivatkozs"/>
        </w:rPr>
        <w:footnoteRef/>
      </w:r>
      <w:r w:rsidRPr="00A07F4E">
        <w:t xml:space="preserve"> </w:t>
      </w:r>
      <w:r w:rsidRPr="009F3A30">
        <w:t xml:space="preserve">Az </w:t>
      </w:r>
      <w:proofErr w:type="spellStart"/>
      <w:r w:rsidRPr="009F3A30">
        <w:t>EBA</w:t>
      </w:r>
      <w:proofErr w:type="spellEnd"/>
      <w:r w:rsidRPr="009F3A30">
        <w:t xml:space="preserve"> részére benyújtott, a</w:t>
      </w:r>
      <w:r w:rsidR="00993B96">
        <w:t xml:space="preserve">z MNB </w:t>
      </w:r>
      <w:r w:rsidRPr="009F3A30">
        <w:t>által kitöltött „</w:t>
      </w:r>
      <w:proofErr w:type="spellStart"/>
      <w:r w:rsidRPr="009F3A30">
        <w:rPr>
          <w:i/>
        </w:rPr>
        <w:t>Opinion</w:t>
      </w:r>
      <w:proofErr w:type="spellEnd"/>
      <w:r w:rsidRPr="009F3A30">
        <w:rPr>
          <w:i/>
        </w:rPr>
        <w:t xml:space="preserve"> </w:t>
      </w:r>
      <w:proofErr w:type="spellStart"/>
      <w:r w:rsidRPr="009F3A30">
        <w:rPr>
          <w:i/>
        </w:rPr>
        <w:t>on</w:t>
      </w:r>
      <w:proofErr w:type="spellEnd"/>
      <w:r w:rsidRPr="009F3A30">
        <w:rPr>
          <w:i/>
        </w:rPr>
        <w:t xml:space="preserve"> </w:t>
      </w:r>
      <w:proofErr w:type="spellStart"/>
      <w:r w:rsidRPr="009F3A30">
        <w:rPr>
          <w:i/>
        </w:rPr>
        <w:t>the</w:t>
      </w:r>
      <w:proofErr w:type="spellEnd"/>
      <w:r w:rsidRPr="009F3A30">
        <w:rPr>
          <w:i/>
        </w:rPr>
        <w:t xml:space="preserve"> ML/</w:t>
      </w:r>
      <w:proofErr w:type="spellStart"/>
      <w:r w:rsidRPr="009F3A30">
        <w:rPr>
          <w:i/>
        </w:rPr>
        <w:t>TF</w:t>
      </w:r>
      <w:proofErr w:type="spellEnd"/>
      <w:r w:rsidRPr="009F3A30">
        <w:rPr>
          <w:i/>
        </w:rPr>
        <w:t xml:space="preserve"> </w:t>
      </w:r>
      <w:proofErr w:type="spellStart"/>
      <w:r w:rsidRPr="009F3A30">
        <w:rPr>
          <w:i/>
        </w:rPr>
        <w:t>risks</w:t>
      </w:r>
      <w:proofErr w:type="spellEnd"/>
      <w:r w:rsidRPr="009F3A30">
        <w:rPr>
          <w:i/>
        </w:rPr>
        <w:t xml:space="preserve"> </w:t>
      </w:r>
      <w:proofErr w:type="spellStart"/>
      <w:r w:rsidRPr="009F3A30">
        <w:rPr>
          <w:i/>
        </w:rPr>
        <w:t>affecting</w:t>
      </w:r>
      <w:proofErr w:type="spellEnd"/>
      <w:r w:rsidRPr="009F3A30">
        <w:rPr>
          <w:i/>
        </w:rPr>
        <w:t xml:space="preserve"> </w:t>
      </w:r>
      <w:proofErr w:type="spellStart"/>
      <w:r w:rsidRPr="009F3A30">
        <w:rPr>
          <w:i/>
        </w:rPr>
        <w:t>the</w:t>
      </w:r>
      <w:proofErr w:type="spellEnd"/>
      <w:r w:rsidRPr="009F3A30">
        <w:rPr>
          <w:i/>
        </w:rPr>
        <w:t xml:space="preserve"> </w:t>
      </w:r>
      <w:proofErr w:type="spellStart"/>
      <w:r w:rsidRPr="009F3A30">
        <w:rPr>
          <w:i/>
        </w:rPr>
        <w:t>EU's</w:t>
      </w:r>
      <w:proofErr w:type="spellEnd"/>
      <w:r w:rsidRPr="009F3A30">
        <w:rPr>
          <w:i/>
        </w:rPr>
        <w:t xml:space="preserve"> </w:t>
      </w:r>
      <w:proofErr w:type="spellStart"/>
      <w:r w:rsidRPr="009F3A30">
        <w:rPr>
          <w:i/>
        </w:rPr>
        <w:t>financial</w:t>
      </w:r>
      <w:proofErr w:type="spellEnd"/>
      <w:r w:rsidRPr="009F3A30">
        <w:rPr>
          <w:i/>
        </w:rPr>
        <w:t xml:space="preserve"> sector - 2020 </w:t>
      </w:r>
      <w:proofErr w:type="spellStart"/>
      <w:r w:rsidRPr="009F3A30">
        <w:rPr>
          <w:i/>
        </w:rPr>
        <w:t>Questionnaire</w:t>
      </w:r>
      <w:proofErr w:type="spellEnd"/>
      <w:r w:rsidRPr="009F3A30">
        <w:rPr>
          <w:i/>
        </w:rPr>
        <w:t xml:space="preserve"> Part 2: </w:t>
      </w:r>
      <w:proofErr w:type="spellStart"/>
      <w:r w:rsidRPr="009F3A30">
        <w:rPr>
          <w:i/>
        </w:rPr>
        <w:t>Risk</w:t>
      </w:r>
      <w:proofErr w:type="spellEnd"/>
      <w:r w:rsidRPr="009F3A30">
        <w:rPr>
          <w:i/>
        </w:rPr>
        <w:t xml:space="preserve"> </w:t>
      </w:r>
      <w:proofErr w:type="spellStart"/>
      <w:r w:rsidRPr="009F3A30">
        <w:rPr>
          <w:i/>
        </w:rPr>
        <w:t>Assessments</w:t>
      </w:r>
      <w:proofErr w:type="spellEnd"/>
      <w:r w:rsidRPr="009F3A30">
        <w:t xml:space="preserve">” dokumentumban a szektort érintően </w:t>
      </w:r>
      <w:r w:rsidR="008C1A55">
        <w:t>a szolgáltatók</w:t>
      </w:r>
      <w:r w:rsidRPr="009F3A30">
        <w:t xml:space="preserve"> által alkalmazott kontrolloknál megadott értékelés szerinti összefoglalás.</w:t>
      </w:r>
    </w:p>
  </w:footnote>
  <w:footnote w:id="26">
    <w:p w14:paraId="6D010B36" w14:textId="26B9BF34" w:rsidR="00751C63" w:rsidRDefault="00751C63">
      <w:pPr>
        <w:pStyle w:val="Lbjegyzetszveg"/>
      </w:pPr>
      <w:r>
        <w:rPr>
          <w:rStyle w:val="Lbjegyzet-hivatkozs"/>
        </w:rPr>
        <w:footnoteRef/>
      </w:r>
      <w:r>
        <w:t xml:space="preserve"> </w:t>
      </w:r>
      <w:proofErr w:type="spellStart"/>
      <w:r>
        <w:t>Pmt</w:t>
      </w:r>
      <w:proofErr w:type="spellEnd"/>
      <w:r>
        <w:t xml:space="preserve">. </w:t>
      </w:r>
      <w:r w:rsidRPr="00751C63">
        <w:t>3. §</w:t>
      </w:r>
      <w:r>
        <w:t xml:space="preserve"> 28. h) pont</w:t>
      </w:r>
    </w:p>
  </w:footnote>
  <w:footnote w:id="27">
    <w:p w14:paraId="5634B6B5" w14:textId="17326CE2" w:rsidR="00751C63" w:rsidRDefault="00751C63">
      <w:pPr>
        <w:pStyle w:val="Lbjegyzetszveg"/>
      </w:pPr>
      <w:r>
        <w:rPr>
          <w:rStyle w:val="Lbjegyzet-hivatkozs"/>
        </w:rPr>
        <w:footnoteRef/>
      </w:r>
      <w:r>
        <w:t xml:space="preserve"> </w:t>
      </w:r>
      <w:proofErr w:type="spellStart"/>
      <w:r>
        <w:t>Pmt</w:t>
      </w:r>
      <w:proofErr w:type="spellEnd"/>
      <w:r>
        <w:t xml:space="preserve">. </w:t>
      </w:r>
      <w:r w:rsidRPr="00751C63">
        <w:t>3. §</w:t>
      </w:r>
      <w:r>
        <w:t xml:space="preserve"> 28. h) pont</w:t>
      </w:r>
    </w:p>
  </w:footnote>
  <w:footnote w:id="28">
    <w:p w14:paraId="3E2FEC25" w14:textId="5F8B1B29" w:rsidR="009661DC" w:rsidRDefault="009661DC">
      <w:pPr>
        <w:pStyle w:val="Lbjegyzetszveg"/>
      </w:pPr>
      <w:r w:rsidRPr="00A07F4E">
        <w:rPr>
          <w:rStyle w:val="Lbjegyzet-hivatkozs"/>
        </w:rPr>
        <w:footnoteRef/>
      </w:r>
      <w:r w:rsidRPr="00A07F4E">
        <w:t xml:space="preserve"> </w:t>
      </w:r>
      <w:r w:rsidRPr="009F3A30">
        <w:t xml:space="preserve">Az </w:t>
      </w:r>
      <w:proofErr w:type="spellStart"/>
      <w:r w:rsidRPr="009F3A30">
        <w:t>EBA</w:t>
      </w:r>
      <w:proofErr w:type="spellEnd"/>
      <w:r w:rsidRPr="009F3A30">
        <w:t xml:space="preserve"> részére benyújtott, </w:t>
      </w:r>
      <w:r w:rsidR="00EB24FB">
        <w:t>az MNB</w:t>
      </w:r>
      <w:r w:rsidRPr="009F3A30">
        <w:t xml:space="preserve"> által kitöltött „</w:t>
      </w:r>
      <w:proofErr w:type="spellStart"/>
      <w:r w:rsidRPr="009F3A30">
        <w:rPr>
          <w:i/>
        </w:rPr>
        <w:t>Opinion</w:t>
      </w:r>
      <w:proofErr w:type="spellEnd"/>
      <w:r w:rsidRPr="009F3A30">
        <w:rPr>
          <w:i/>
        </w:rPr>
        <w:t xml:space="preserve"> </w:t>
      </w:r>
      <w:proofErr w:type="spellStart"/>
      <w:r w:rsidRPr="009F3A30">
        <w:rPr>
          <w:i/>
        </w:rPr>
        <w:t>on</w:t>
      </w:r>
      <w:proofErr w:type="spellEnd"/>
      <w:r w:rsidRPr="009F3A30">
        <w:rPr>
          <w:i/>
        </w:rPr>
        <w:t xml:space="preserve"> </w:t>
      </w:r>
      <w:proofErr w:type="spellStart"/>
      <w:r w:rsidRPr="009F3A30">
        <w:rPr>
          <w:i/>
        </w:rPr>
        <w:t>the</w:t>
      </w:r>
      <w:proofErr w:type="spellEnd"/>
      <w:r w:rsidRPr="009F3A30">
        <w:rPr>
          <w:i/>
        </w:rPr>
        <w:t xml:space="preserve"> ML/</w:t>
      </w:r>
      <w:proofErr w:type="spellStart"/>
      <w:r w:rsidRPr="009F3A30">
        <w:rPr>
          <w:i/>
        </w:rPr>
        <w:t>TF</w:t>
      </w:r>
      <w:proofErr w:type="spellEnd"/>
      <w:r w:rsidRPr="009F3A30">
        <w:rPr>
          <w:i/>
        </w:rPr>
        <w:t xml:space="preserve"> </w:t>
      </w:r>
      <w:proofErr w:type="spellStart"/>
      <w:r w:rsidRPr="009F3A30">
        <w:rPr>
          <w:i/>
        </w:rPr>
        <w:t>risks</w:t>
      </w:r>
      <w:proofErr w:type="spellEnd"/>
      <w:r w:rsidRPr="009F3A30">
        <w:rPr>
          <w:i/>
        </w:rPr>
        <w:t xml:space="preserve"> </w:t>
      </w:r>
      <w:proofErr w:type="spellStart"/>
      <w:r w:rsidRPr="009F3A30">
        <w:rPr>
          <w:i/>
        </w:rPr>
        <w:t>affecting</w:t>
      </w:r>
      <w:proofErr w:type="spellEnd"/>
      <w:r w:rsidRPr="009F3A30">
        <w:rPr>
          <w:i/>
        </w:rPr>
        <w:t xml:space="preserve"> </w:t>
      </w:r>
      <w:proofErr w:type="spellStart"/>
      <w:r w:rsidRPr="009F3A30">
        <w:rPr>
          <w:i/>
        </w:rPr>
        <w:t>the</w:t>
      </w:r>
      <w:proofErr w:type="spellEnd"/>
      <w:r w:rsidRPr="009F3A30">
        <w:rPr>
          <w:i/>
        </w:rPr>
        <w:t xml:space="preserve"> </w:t>
      </w:r>
      <w:proofErr w:type="spellStart"/>
      <w:r w:rsidRPr="009F3A30">
        <w:rPr>
          <w:i/>
        </w:rPr>
        <w:t>EU's</w:t>
      </w:r>
      <w:proofErr w:type="spellEnd"/>
      <w:r w:rsidRPr="009F3A30">
        <w:rPr>
          <w:i/>
        </w:rPr>
        <w:t xml:space="preserve"> </w:t>
      </w:r>
      <w:proofErr w:type="spellStart"/>
      <w:r w:rsidRPr="009F3A30">
        <w:rPr>
          <w:i/>
        </w:rPr>
        <w:t>financial</w:t>
      </w:r>
      <w:proofErr w:type="spellEnd"/>
      <w:r w:rsidRPr="009F3A30">
        <w:rPr>
          <w:i/>
        </w:rPr>
        <w:t xml:space="preserve"> sector - 2020 </w:t>
      </w:r>
      <w:proofErr w:type="spellStart"/>
      <w:r w:rsidRPr="009F3A30">
        <w:rPr>
          <w:i/>
        </w:rPr>
        <w:t>Questionnaire</w:t>
      </w:r>
      <w:proofErr w:type="spellEnd"/>
      <w:r w:rsidRPr="009F3A30">
        <w:rPr>
          <w:i/>
        </w:rPr>
        <w:t xml:space="preserve"> Part 2: </w:t>
      </w:r>
      <w:proofErr w:type="spellStart"/>
      <w:r w:rsidRPr="009F3A30">
        <w:rPr>
          <w:i/>
        </w:rPr>
        <w:t>Risk</w:t>
      </w:r>
      <w:proofErr w:type="spellEnd"/>
      <w:r w:rsidRPr="009F3A30">
        <w:rPr>
          <w:i/>
        </w:rPr>
        <w:t xml:space="preserve"> </w:t>
      </w:r>
      <w:proofErr w:type="spellStart"/>
      <w:r w:rsidRPr="009F3A30">
        <w:rPr>
          <w:i/>
        </w:rPr>
        <w:t>Assessments</w:t>
      </w:r>
      <w:proofErr w:type="spellEnd"/>
      <w:r w:rsidRPr="009F3A30">
        <w:t xml:space="preserve">” dokumentumban a szektort érintően </w:t>
      </w:r>
      <w:r w:rsidR="008C1A55">
        <w:t>a szolgáltatók</w:t>
      </w:r>
      <w:r w:rsidRPr="009F3A30">
        <w:t xml:space="preserve"> által alkalmazott kontrolloknál megadott értékelés szerinti összefoglalás.</w:t>
      </w:r>
    </w:p>
  </w:footnote>
  <w:footnote w:id="29">
    <w:p w14:paraId="65291479" w14:textId="0E4254EF" w:rsidR="001F7CF7" w:rsidRDefault="001F7CF7">
      <w:pPr>
        <w:pStyle w:val="Lbjegyzetszveg"/>
      </w:pPr>
      <w:r>
        <w:rPr>
          <w:rStyle w:val="Lbjegyzet-hivatkozs"/>
        </w:rPr>
        <w:footnoteRef/>
      </w:r>
      <w:r>
        <w:t xml:space="preserve"> </w:t>
      </w:r>
      <w:r w:rsidRPr="001F7CF7">
        <w:t>A bizalmi vagyonkezelés jogintézményét a Polgári Törvénykönyvről szóló 2013. évi V. törvény vezette be, a bizalmi vagyonkezelési tevékenység végzésének részletszabályairól pedig a bizalmi vagyonkezelőkről és tevékenységük szabályairól szóló 2014. évi XV. törvény rendelkezik. Ez utóbbi értelmében bizalmi vagyonkezelés egynél több szerződés alapján üzletszerű formában az MNB engedélyével, illetve nem üzletszerűen az MNB általi nyilvántartásba vétel mellett végezhető.</w:t>
      </w:r>
    </w:p>
  </w:footnote>
  <w:footnote w:id="30">
    <w:p w14:paraId="06B925D4" w14:textId="43B03C1E" w:rsidR="00BF36B4" w:rsidRDefault="00BF36B4" w:rsidP="000222BD">
      <w:pPr>
        <w:spacing w:after="0" w:line="240" w:lineRule="auto"/>
        <w:jc w:val="center"/>
      </w:pPr>
      <w:r>
        <w:rPr>
          <w:rStyle w:val="Lbjegyzet-hivatkozs"/>
        </w:rPr>
        <w:footnoteRef/>
      </w:r>
      <w:r>
        <w:t xml:space="preserve"> </w:t>
      </w:r>
      <w:r w:rsidRPr="00BF36B4">
        <w:t>A pénztárak tevékenységét az Önkéntes Kölcsönös Biztosító Pénztárakról szóló 1993. évi XCVI. törvény szabályozza.</w:t>
      </w:r>
    </w:p>
  </w:footnote>
  <w:footnote w:id="31">
    <w:p w14:paraId="2CA63B5C" w14:textId="0D2C9B72" w:rsidR="008E13A0" w:rsidRDefault="008E13A0">
      <w:pPr>
        <w:pStyle w:val="Lbjegyzetszveg"/>
      </w:pPr>
      <w:r>
        <w:rPr>
          <w:rStyle w:val="Lbjegyzet-hivatkozs"/>
        </w:rPr>
        <w:footnoteRef/>
      </w:r>
      <w:r>
        <w:t xml:space="preserve"> A</w:t>
      </w:r>
      <w:r w:rsidRPr="008E13A0">
        <w:t xml:space="preserve"> foglalkoztatói nyugdíjról és intézményeiről</w:t>
      </w:r>
      <w:r>
        <w:t xml:space="preserve"> szóló </w:t>
      </w:r>
      <w:r w:rsidRPr="008E13A0">
        <w:t>2007. évi CXVII. törvény 2. § 14. pontja</w:t>
      </w:r>
      <w:r w:rsidR="00D17822">
        <w:t xml:space="preserve"> szerinti foglalkoztatói nyugdíjszolgáltató intézményt jelenti. </w:t>
      </w:r>
    </w:p>
  </w:footnote>
  <w:footnote w:id="32">
    <w:p w14:paraId="36C8A6A5" w14:textId="1854FAEE" w:rsidR="00B610A8" w:rsidRDefault="00B610A8">
      <w:pPr>
        <w:pStyle w:val="Lbjegyzetszveg"/>
      </w:pPr>
      <w:r>
        <w:rPr>
          <w:rStyle w:val="Lbjegyzet-hivatkozs"/>
        </w:rPr>
        <w:footnoteRef/>
      </w:r>
      <w:r>
        <w:t xml:space="preserve"> Utalvány-kibocsátó az a </w:t>
      </w:r>
      <w:r w:rsidRPr="00B610A8">
        <w:t>vállalkozás, amely forgatható utalvány kibocsátására irányuló tevékenységet végez az egyes fizetési szolgáltatókról szóló 2013. évi CCXXXV. törvény</w:t>
      </w:r>
      <w:r>
        <w:t xml:space="preserve"> </w:t>
      </w:r>
      <w:r w:rsidRPr="00B610A8">
        <w:t>9. § (1) bekezdése alapján</w:t>
      </w:r>
      <w:r>
        <w:t>.</w:t>
      </w:r>
    </w:p>
  </w:footnote>
  <w:footnote w:id="33">
    <w:p w14:paraId="0EFDA3A2" w14:textId="0056828D" w:rsidR="00B610A8" w:rsidRDefault="00B610A8">
      <w:pPr>
        <w:pStyle w:val="Lbjegyzetszveg"/>
      </w:pPr>
      <w:r>
        <w:rPr>
          <w:rStyle w:val="Lbjegyzet-hivatkozs"/>
        </w:rPr>
        <w:footnoteRef/>
      </w:r>
      <w:r>
        <w:t xml:space="preserve"> Hpt. </w:t>
      </w:r>
      <w:r w:rsidRPr="00B610A8">
        <w:t>6. § (1)</w:t>
      </w:r>
      <w:r>
        <w:t xml:space="preserve"> 29. pont</w:t>
      </w:r>
    </w:p>
  </w:footnote>
  <w:footnote w:id="34">
    <w:p w14:paraId="382B170C" w14:textId="1656DFCA" w:rsidR="00E25797" w:rsidRDefault="00E25797">
      <w:pPr>
        <w:pStyle w:val="Lbjegyzetszveg"/>
      </w:pPr>
      <w:r>
        <w:rPr>
          <w:rStyle w:val="Lbjegyzet-hivatkozs"/>
        </w:rPr>
        <w:footnoteRef/>
      </w:r>
      <w:r>
        <w:t xml:space="preserve"> </w:t>
      </w:r>
      <w:r w:rsidRPr="00E25797">
        <w:t xml:space="preserve">A </w:t>
      </w:r>
      <w:proofErr w:type="spellStart"/>
      <w:r w:rsidRPr="008B2F6D">
        <w:t>Bszt</w:t>
      </w:r>
      <w:proofErr w:type="spellEnd"/>
      <w:r w:rsidRPr="008B2F6D">
        <w:t>.</w:t>
      </w:r>
      <w:r w:rsidRPr="00E25797">
        <w:t xml:space="preserve"> szerint a piacműködtető olyan személy, amely irányítja, illetve működteti a szabályozott piac üzletvitelét, és amely maga a szabályozott piac.</w:t>
      </w:r>
    </w:p>
  </w:footnote>
  <w:footnote w:id="35">
    <w:p w14:paraId="718F9F2D" w14:textId="18869BA3" w:rsidR="008349C0" w:rsidRDefault="008349C0">
      <w:pPr>
        <w:pStyle w:val="Lbjegyzetszveg"/>
      </w:pPr>
      <w:r>
        <w:rPr>
          <w:rStyle w:val="Lbjegyzet-hivatkozs"/>
        </w:rPr>
        <w:footnoteRef/>
      </w:r>
      <w:r>
        <w:t xml:space="preserve"> A </w:t>
      </w:r>
      <w:r w:rsidRPr="008349C0">
        <w:t xml:space="preserve">Hpt. </w:t>
      </w:r>
      <w:r w:rsidR="00073881" w:rsidRPr="00073881">
        <w:t>6. § (1)</w:t>
      </w:r>
      <w:r w:rsidR="00073881">
        <w:t xml:space="preserve"> 85. pontja szerinti tevékenység végzését jelenti.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C08E" w14:textId="77777777" w:rsidR="009661DC" w:rsidRPr="00AC6950" w:rsidRDefault="009661DC"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489"/>
    <w:multiLevelType w:val="hybridMultilevel"/>
    <w:tmpl w:val="9C14299E"/>
    <w:lvl w:ilvl="0" w:tplc="054CAF0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CF3BF4"/>
    <w:multiLevelType w:val="hybridMultilevel"/>
    <w:tmpl w:val="7694A4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3E203F"/>
    <w:multiLevelType w:val="hybridMultilevel"/>
    <w:tmpl w:val="D93A3EA4"/>
    <w:lvl w:ilvl="0" w:tplc="1D802B48">
      <w:numFmt w:val="bullet"/>
      <w:lvlText w:val="-"/>
      <w:lvlJc w:val="left"/>
      <w:pPr>
        <w:ind w:left="540" w:hanging="360"/>
      </w:pPr>
      <w:rPr>
        <w:rFonts w:ascii="Calibri" w:eastAsia="Times New Roman" w:hAnsi="Calibri" w:cs="Calibri"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abstractNum w:abstractNumId="3" w15:restartNumberingAfterBreak="0">
    <w:nsid w:val="0AA748CC"/>
    <w:multiLevelType w:val="hybridMultilevel"/>
    <w:tmpl w:val="E0F483F0"/>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4" w15:restartNumberingAfterBreak="0">
    <w:nsid w:val="0CB356C6"/>
    <w:multiLevelType w:val="hybridMultilevel"/>
    <w:tmpl w:val="B18248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417885"/>
    <w:multiLevelType w:val="hybridMultilevel"/>
    <w:tmpl w:val="7B829374"/>
    <w:lvl w:ilvl="0" w:tplc="040E0013">
      <w:start w:val="1"/>
      <w:numFmt w:val="upperRoman"/>
      <w:lvlText w:val="%1."/>
      <w:lvlJc w:val="right"/>
      <w:pPr>
        <w:ind w:left="72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E644994"/>
    <w:multiLevelType w:val="hybridMultilevel"/>
    <w:tmpl w:val="B18248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CF49B5"/>
    <w:multiLevelType w:val="hybridMultilevel"/>
    <w:tmpl w:val="B18248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20C0CD9"/>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13030742"/>
    <w:multiLevelType w:val="hybridMultilevel"/>
    <w:tmpl w:val="B18248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07716E"/>
    <w:multiLevelType w:val="hybridMultilevel"/>
    <w:tmpl w:val="9D30B4F6"/>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1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84D7DD2"/>
    <w:multiLevelType w:val="hybridMultilevel"/>
    <w:tmpl w:val="0098048A"/>
    <w:lvl w:ilvl="0" w:tplc="BBCE670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9946C0D"/>
    <w:multiLevelType w:val="hybridMultilevel"/>
    <w:tmpl w:val="250E01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AC94B6C"/>
    <w:multiLevelType w:val="hybridMultilevel"/>
    <w:tmpl w:val="2998223C"/>
    <w:lvl w:ilvl="0" w:tplc="7730105E">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1E031DC3"/>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0" w15:restartNumberingAfterBreak="0">
    <w:nsid w:val="20B4441F"/>
    <w:multiLevelType w:val="hybridMultilevel"/>
    <w:tmpl w:val="64E4D484"/>
    <w:lvl w:ilvl="0" w:tplc="7980BE0C">
      <w:start w:val="8"/>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1" w15:restartNumberingAfterBreak="0">
    <w:nsid w:val="23DA2669"/>
    <w:multiLevelType w:val="hybridMultilevel"/>
    <w:tmpl w:val="D9D6888C"/>
    <w:lvl w:ilvl="0" w:tplc="9EBC16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49C1CD8"/>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3" w15:restartNumberingAfterBreak="0">
    <w:nsid w:val="276C233B"/>
    <w:multiLevelType w:val="hybridMultilevel"/>
    <w:tmpl w:val="7F229CE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25" w15:restartNumberingAfterBreak="0">
    <w:nsid w:val="2BEF3B47"/>
    <w:multiLevelType w:val="hybridMultilevel"/>
    <w:tmpl w:val="6C069086"/>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26" w15:restartNumberingAfterBreak="0">
    <w:nsid w:val="2CD65992"/>
    <w:multiLevelType w:val="hybridMultilevel"/>
    <w:tmpl w:val="EECC95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34D76638"/>
    <w:multiLevelType w:val="hybridMultilevel"/>
    <w:tmpl w:val="B18248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8B65FEE"/>
    <w:multiLevelType w:val="hybridMultilevel"/>
    <w:tmpl w:val="CD5831E0"/>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30" w15:restartNumberingAfterBreak="0">
    <w:nsid w:val="3D0535AC"/>
    <w:multiLevelType w:val="hybridMultilevel"/>
    <w:tmpl w:val="B18248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D187DBF"/>
    <w:multiLevelType w:val="hybridMultilevel"/>
    <w:tmpl w:val="B18248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D7B461A"/>
    <w:multiLevelType w:val="hybridMultilevel"/>
    <w:tmpl w:val="6C069086"/>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3" w15:restartNumberingAfterBreak="0">
    <w:nsid w:val="3E835FC0"/>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4" w15:restartNumberingAfterBreak="0">
    <w:nsid w:val="414662DB"/>
    <w:multiLevelType w:val="hybridMultilevel"/>
    <w:tmpl w:val="C51AF6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15:restartNumberingAfterBreak="0">
    <w:nsid w:val="42660821"/>
    <w:multiLevelType w:val="hybridMultilevel"/>
    <w:tmpl w:val="2998223C"/>
    <w:lvl w:ilvl="0" w:tplc="7730105E">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7" w15:restartNumberingAfterBreak="0">
    <w:nsid w:val="44A06954"/>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8" w15:restartNumberingAfterBreak="0">
    <w:nsid w:val="46F30A26"/>
    <w:multiLevelType w:val="hybridMultilevel"/>
    <w:tmpl w:val="B18248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15:restartNumberingAfterBreak="0">
    <w:nsid w:val="4B0A0171"/>
    <w:multiLevelType w:val="hybridMultilevel"/>
    <w:tmpl w:val="B18248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E2A77DA"/>
    <w:multiLevelType w:val="hybridMultilevel"/>
    <w:tmpl w:val="7BEC9234"/>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42" w15:restartNumberingAfterBreak="0">
    <w:nsid w:val="4FB231D3"/>
    <w:multiLevelType w:val="hybridMultilevel"/>
    <w:tmpl w:val="0BCE1CD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0120B3D"/>
    <w:multiLevelType w:val="hybridMultilevel"/>
    <w:tmpl w:val="8C1EC3B8"/>
    <w:lvl w:ilvl="0" w:tplc="B0AC6B94">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17A0672"/>
    <w:multiLevelType w:val="hybridMultilevel"/>
    <w:tmpl w:val="3C42FD4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5" w15:restartNumberingAfterBreak="0">
    <w:nsid w:val="52194EAB"/>
    <w:multiLevelType w:val="hybridMultilevel"/>
    <w:tmpl w:val="59BAAE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3287D52"/>
    <w:multiLevelType w:val="hybridMultilevel"/>
    <w:tmpl w:val="063A5A60"/>
    <w:lvl w:ilvl="0" w:tplc="D76CD258">
      <w:start w:val="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53732B09"/>
    <w:multiLevelType w:val="hybridMultilevel"/>
    <w:tmpl w:val="6C069086"/>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48" w15:restartNumberingAfterBreak="0">
    <w:nsid w:val="54AF0A60"/>
    <w:multiLevelType w:val="hybridMultilevel"/>
    <w:tmpl w:val="B18248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54F866BD"/>
    <w:multiLevelType w:val="hybridMultilevel"/>
    <w:tmpl w:val="568ED7B4"/>
    <w:lvl w:ilvl="0" w:tplc="ABB27AC4">
      <w:start w:val="1"/>
      <w:numFmt w:val="decimal"/>
      <w:lvlText w:val="%1."/>
      <w:lvlJc w:val="left"/>
      <w:pPr>
        <w:ind w:left="644" w:hanging="360"/>
      </w:pPr>
      <w:rPr>
        <w:rFonts w:hint="default"/>
      </w:rPr>
    </w:lvl>
    <w:lvl w:ilvl="1" w:tplc="040E001B">
      <w:start w:val="1"/>
      <w:numFmt w:val="lowerRoman"/>
      <w:lvlText w:val="%2."/>
      <w:lvlJc w:val="righ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0" w15:restartNumberingAfterBreak="0">
    <w:nsid w:val="55FF5BFF"/>
    <w:multiLevelType w:val="hybridMultilevel"/>
    <w:tmpl w:val="250E0104"/>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1" w15:restartNumberingAfterBreak="0">
    <w:nsid w:val="57B036ED"/>
    <w:multiLevelType w:val="hybridMultilevel"/>
    <w:tmpl w:val="E7EA8DB6"/>
    <w:lvl w:ilvl="0" w:tplc="7BDAEF6E">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97E05F1"/>
    <w:multiLevelType w:val="hybridMultilevel"/>
    <w:tmpl w:val="583438C0"/>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53" w15:restartNumberingAfterBreak="0">
    <w:nsid w:val="5A024FE0"/>
    <w:multiLevelType w:val="hybridMultilevel"/>
    <w:tmpl w:val="B18248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5BBD21D8"/>
    <w:multiLevelType w:val="hybridMultilevel"/>
    <w:tmpl w:val="10F02CC2"/>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55" w15:restartNumberingAfterBreak="0">
    <w:nsid w:val="5C3A56F5"/>
    <w:multiLevelType w:val="hybridMultilevel"/>
    <w:tmpl w:val="B18248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0457063"/>
    <w:multiLevelType w:val="hybridMultilevel"/>
    <w:tmpl w:val="B366D89C"/>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57" w15:restartNumberingAfterBreak="0">
    <w:nsid w:val="63003838"/>
    <w:multiLevelType w:val="hybridMultilevel"/>
    <w:tmpl w:val="584A9038"/>
    <w:lvl w:ilvl="0" w:tplc="ABB27AC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8" w15:restartNumberingAfterBreak="0">
    <w:nsid w:val="63B556A5"/>
    <w:multiLevelType w:val="hybridMultilevel"/>
    <w:tmpl w:val="B18248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4071EC8"/>
    <w:multiLevelType w:val="hybridMultilevel"/>
    <w:tmpl w:val="B18248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4821E1D"/>
    <w:multiLevelType w:val="hybridMultilevel"/>
    <w:tmpl w:val="584A9038"/>
    <w:lvl w:ilvl="0" w:tplc="ABB27AC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1" w15:restartNumberingAfterBreak="0">
    <w:nsid w:val="67A27555"/>
    <w:multiLevelType w:val="hybridMultilevel"/>
    <w:tmpl w:val="3F4A69E2"/>
    <w:lvl w:ilvl="0" w:tplc="7980BE0C">
      <w:start w:val="8"/>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68CB75DB"/>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3" w15:restartNumberingAfterBreak="0">
    <w:nsid w:val="69B50215"/>
    <w:multiLevelType w:val="hybridMultilevel"/>
    <w:tmpl w:val="B18248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A517FDF"/>
    <w:multiLevelType w:val="hybridMultilevel"/>
    <w:tmpl w:val="A0009BC4"/>
    <w:lvl w:ilvl="0" w:tplc="344479CA">
      <w:numFmt w:val="bullet"/>
      <w:lvlText w:val="-"/>
      <w:lvlJc w:val="left"/>
      <w:pPr>
        <w:ind w:left="585" w:hanging="360"/>
      </w:pPr>
      <w:rPr>
        <w:rFonts w:ascii="Calibri" w:eastAsia="Times New Roman" w:hAnsi="Calibri" w:cs="Calibri" w:hint="default"/>
      </w:rPr>
    </w:lvl>
    <w:lvl w:ilvl="1" w:tplc="040E0003" w:tentative="1">
      <w:start w:val="1"/>
      <w:numFmt w:val="bullet"/>
      <w:lvlText w:val="o"/>
      <w:lvlJc w:val="left"/>
      <w:pPr>
        <w:ind w:left="1305" w:hanging="360"/>
      </w:pPr>
      <w:rPr>
        <w:rFonts w:ascii="Courier New" w:hAnsi="Courier New" w:cs="Courier New" w:hint="default"/>
      </w:rPr>
    </w:lvl>
    <w:lvl w:ilvl="2" w:tplc="040E0005" w:tentative="1">
      <w:start w:val="1"/>
      <w:numFmt w:val="bullet"/>
      <w:lvlText w:val=""/>
      <w:lvlJc w:val="left"/>
      <w:pPr>
        <w:ind w:left="2025" w:hanging="360"/>
      </w:pPr>
      <w:rPr>
        <w:rFonts w:ascii="Wingdings" w:hAnsi="Wingdings" w:hint="default"/>
      </w:rPr>
    </w:lvl>
    <w:lvl w:ilvl="3" w:tplc="040E0001" w:tentative="1">
      <w:start w:val="1"/>
      <w:numFmt w:val="bullet"/>
      <w:lvlText w:val=""/>
      <w:lvlJc w:val="left"/>
      <w:pPr>
        <w:ind w:left="2745" w:hanging="360"/>
      </w:pPr>
      <w:rPr>
        <w:rFonts w:ascii="Symbol" w:hAnsi="Symbol" w:hint="default"/>
      </w:rPr>
    </w:lvl>
    <w:lvl w:ilvl="4" w:tplc="040E0003" w:tentative="1">
      <w:start w:val="1"/>
      <w:numFmt w:val="bullet"/>
      <w:lvlText w:val="o"/>
      <w:lvlJc w:val="left"/>
      <w:pPr>
        <w:ind w:left="3465" w:hanging="360"/>
      </w:pPr>
      <w:rPr>
        <w:rFonts w:ascii="Courier New" w:hAnsi="Courier New" w:cs="Courier New" w:hint="default"/>
      </w:rPr>
    </w:lvl>
    <w:lvl w:ilvl="5" w:tplc="040E0005" w:tentative="1">
      <w:start w:val="1"/>
      <w:numFmt w:val="bullet"/>
      <w:lvlText w:val=""/>
      <w:lvlJc w:val="left"/>
      <w:pPr>
        <w:ind w:left="4185" w:hanging="360"/>
      </w:pPr>
      <w:rPr>
        <w:rFonts w:ascii="Wingdings" w:hAnsi="Wingdings" w:hint="default"/>
      </w:rPr>
    </w:lvl>
    <w:lvl w:ilvl="6" w:tplc="040E0001" w:tentative="1">
      <w:start w:val="1"/>
      <w:numFmt w:val="bullet"/>
      <w:lvlText w:val=""/>
      <w:lvlJc w:val="left"/>
      <w:pPr>
        <w:ind w:left="4905" w:hanging="360"/>
      </w:pPr>
      <w:rPr>
        <w:rFonts w:ascii="Symbol" w:hAnsi="Symbol" w:hint="default"/>
      </w:rPr>
    </w:lvl>
    <w:lvl w:ilvl="7" w:tplc="040E0003" w:tentative="1">
      <w:start w:val="1"/>
      <w:numFmt w:val="bullet"/>
      <w:lvlText w:val="o"/>
      <w:lvlJc w:val="left"/>
      <w:pPr>
        <w:ind w:left="5625" w:hanging="360"/>
      </w:pPr>
      <w:rPr>
        <w:rFonts w:ascii="Courier New" w:hAnsi="Courier New" w:cs="Courier New" w:hint="default"/>
      </w:rPr>
    </w:lvl>
    <w:lvl w:ilvl="8" w:tplc="040E0005" w:tentative="1">
      <w:start w:val="1"/>
      <w:numFmt w:val="bullet"/>
      <w:lvlText w:val=""/>
      <w:lvlJc w:val="left"/>
      <w:pPr>
        <w:ind w:left="6345" w:hanging="360"/>
      </w:pPr>
      <w:rPr>
        <w:rFonts w:ascii="Wingdings" w:hAnsi="Wingdings" w:hint="default"/>
      </w:rPr>
    </w:lvl>
  </w:abstractNum>
  <w:abstractNum w:abstractNumId="65" w15:restartNumberingAfterBreak="0">
    <w:nsid w:val="6CB35F31"/>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6"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67" w15:restartNumberingAfterBreak="0">
    <w:nsid w:val="6FD92AFB"/>
    <w:multiLevelType w:val="hybridMultilevel"/>
    <w:tmpl w:val="584A9038"/>
    <w:lvl w:ilvl="0" w:tplc="ABB27AC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8" w15:restartNumberingAfterBreak="0">
    <w:nsid w:val="703E4E6C"/>
    <w:multiLevelType w:val="hybridMultilevel"/>
    <w:tmpl w:val="A8EAAD84"/>
    <w:lvl w:ilvl="0" w:tplc="040E0019">
      <w:start w:val="1"/>
      <w:numFmt w:val="lowerLetter"/>
      <w:lvlText w:val="%1."/>
      <w:lvlJc w:val="left"/>
      <w:pPr>
        <w:ind w:left="1364" w:hanging="360"/>
      </w:p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69" w15:restartNumberingAfterBreak="0">
    <w:nsid w:val="71A87E00"/>
    <w:multiLevelType w:val="hybridMultilevel"/>
    <w:tmpl w:val="2998223C"/>
    <w:lvl w:ilvl="0" w:tplc="7730105E">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0" w15:restartNumberingAfterBreak="0">
    <w:nsid w:val="73085380"/>
    <w:multiLevelType w:val="hybridMultilevel"/>
    <w:tmpl w:val="2D14B51C"/>
    <w:lvl w:ilvl="0" w:tplc="B0088E0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2" w15:restartNumberingAfterBreak="0">
    <w:nsid w:val="76944E5C"/>
    <w:multiLevelType w:val="hybridMultilevel"/>
    <w:tmpl w:val="BCBE3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786C07F2"/>
    <w:multiLevelType w:val="hybridMultilevel"/>
    <w:tmpl w:val="F30A5E6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74" w15:restartNumberingAfterBreak="0">
    <w:nsid w:val="7A94423C"/>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5" w15:restartNumberingAfterBreak="0">
    <w:nsid w:val="7B2626AE"/>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6" w15:restartNumberingAfterBreak="0">
    <w:nsid w:val="7C761C65"/>
    <w:multiLevelType w:val="hybridMultilevel"/>
    <w:tmpl w:val="58AC1CD6"/>
    <w:lvl w:ilvl="0" w:tplc="6FBC0A10">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7" w15:restartNumberingAfterBreak="0">
    <w:nsid w:val="7DF02F7E"/>
    <w:multiLevelType w:val="hybridMultilevel"/>
    <w:tmpl w:val="2998223C"/>
    <w:lvl w:ilvl="0" w:tplc="7730105E">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8" w15:restartNumberingAfterBreak="0">
    <w:nsid w:val="7E641EBE"/>
    <w:multiLevelType w:val="hybridMultilevel"/>
    <w:tmpl w:val="B18248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20958575">
    <w:abstractNumId w:val="19"/>
  </w:num>
  <w:num w:numId="2" w16cid:durableId="18244612">
    <w:abstractNumId w:val="12"/>
  </w:num>
  <w:num w:numId="3" w16cid:durableId="45447637">
    <w:abstractNumId w:val="24"/>
  </w:num>
  <w:num w:numId="4" w16cid:durableId="726878622">
    <w:abstractNumId w:val="5"/>
  </w:num>
  <w:num w:numId="5" w16cid:durableId="93597916">
    <w:abstractNumId w:val="8"/>
  </w:num>
  <w:num w:numId="6" w16cid:durableId="299773212">
    <w:abstractNumId w:val="14"/>
  </w:num>
  <w:num w:numId="7" w16cid:durableId="1985500494">
    <w:abstractNumId w:val="66"/>
  </w:num>
  <w:num w:numId="8" w16cid:durableId="80874346">
    <w:abstractNumId w:val="35"/>
    <w:lvlOverride w:ilvl="0">
      <w:startOverride w:val="1"/>
    </w:lvlOverride>
  </w:num>
  <w:num w:numId="9" w16cid:durableId="337193129">
    <w:abstractNumId w:val="71"/>
  </w:num>
  <w:num w:numId="10" w16cid:durableId="517893707">
    <w:abstractNumId w:val="6"/>
  </w:num>
  <w:num w:numId="11" w16cid:durableId="1726025216">
    <w:abstractNumId w:val="42"/>
  </w:num>
  <w:num w:numId="12" w16cid:durableId="1296528277">
    <w:abstractNumId w:val="18"/>
  </w:num>
  <w:num w:numId="13" w16cid:durableId="1540703891">
    <w:abstractNumId w:val="23"/>
  </w:num>
  <w:num w:numId="14" w16cid:durableId="1863392539">
    <w:abstractNumId w:val="74"/>
  </w:num>
  <w:num w:numId="15" w16cid:durableId="535890717">
    <w:abstractNumId w:val="62"/>
  </w:num>
  <w:num w:numId="16" w16cid:durableId="587152668">
    <w:abstractNumId w:val="69"/>
  </w:num>
  <w:num w:numId="17" w16cid:durableId="2127296">
    <w:abstractNumId w:val="77"/>
  </w:num>
  <w:num w:numId="18" w16cid:durableId="646322846">
    <w:abstractNumId w:val="36"/>
  </w:num>
  <w:num w:numId="19" w16cid:durableId="2092849165">
    <w:abstractNumId w:val="49"/>
  </w:num>
  <w:num w:numId="20" w16cid:durableId="311524164">
    <w:abstractNumId w:val="20"/>
  </w:num>
  <w:num w:numId="21" w16cid:durableId="2021731900">
    <w:abstractNumId w:val="73"/>
  </w:num>
  <w:num w:numId="22" w16cid:durableId="542906136">
    <w:abstractNumId w:val="52"/>
  </w:num>
  <w:num w:numId="23" w16cid:durableId="1219970527">
    <w:abstractNumId w:val="65"/>
  </w:num>
  <w:num w:numId="24" w16cid:durableId="1010376771">
    <w:abstractNumId w:val="61"/>
  </w:num>
  <w:num w:numId="25" w16cid:durableId="364403187">
    <w:abstractNumId w:val="60"/>
  </w:num>
  <w:num w:numId="26" w16cid:durableId="394933514">
    <w:abstractNumId w:val="33"/>
  </w:num>
  <w:num w:numId="27" w16cid:durableId="5547027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1915539">
    <w:abstractNumId w:val="13"/>
  </w:num>
  <w:num w:numId="29" w16cid:durableId="1691908829">
    <w:abstractNumId w:val="35"/>
  </w:num>
  <w:num w:numId="30" w16cid:durableId="549608758">
    <w:abstractNumId w:val="39"/>
  </w:num>
  <w:num w:numId="31" w16cid:durableId="703293290">
    <w:abstractNumId w:val="27"/>
  </w:num>
  <w:num w:numId="32" w16cid:durableId="1402486823">
    <w:abstractNumId w:val="35"/>
    <w:lvlOverride w:ilvl="0">
      <w:startOverride w:val="1"/>
    </w:lvlOverride>
  </w:num>
  <w:num w:numId="33" w16cid:durableId="753207188">
    <w:abstractNumId w:val="54"/>
  </w:num>
  <w:num w:numId="34" w16cid:durableId="166755714">
    <w:abstractNumId w:val="35"/>
    <w:lvlOverride w:ilvl="0">
      <w:startOverride w:val="1"/>
    </w:lvlOverride>
  </w:num>
  <w:num w:numId="35" w16cid:durableId="176969539">
    <w:abstractNumId w:val="3"/>
  </w:num>
  <w:num w:numId="36" w16cid:durableId="469370643">
    <w:abstractNumId w:val="35"/>
    <w:lvlOverride w:ilvl="0">
      <w:startOverride w:val="1"/>
    </w:lvlOverride>
  </w:num>
  <w:num w:numId="37" w16cid:durableId="754672018">
    <w:abstractNumId w:val="76"/>
  </w:num>
  <w:num w:numId="38" w16cid:durableId="1083722581">
    <w:abstractNumId w:val="10"/>
  </w:num>
  <w:num w:numId="39" w16cid:durableId="761492996">
    <w:abstractNumId w:val="75"/>
  </w:num>
  <w:num w:numId="40" w16cid:durableId="792284438">
    <w:abstractNumId w:val="17"/>
  </w:num>
  <w:num w:numId="41" w16cid:durableId="1160661199">
    <w:abstractNumId w:val="37"/>
  </w:num>
  <w:num w:numId="42" w16cid:durableId="968556678">
    <w:abstractNumId w:val="35"/>
    <w:lvlOverride w:ilvl="0">
      <w:startOverride w:val="1"/>
    </w:lvlOverride>
  </w:num>
  <w:num w:numId="43" w16cid:durableId="459345929">
    <w:abstractNumId w:val="35"/>
    <w:lvlOverride w:ilvl="0">
      <w:startOverride w:val="1"/>
    </w:lvlOverride>
  </w:num>
  <w:num w:numId="44" w16cid:durableId="1408721175">
    <w:abstractNumId w:val="57"/>
  </w:num>
  <w:num w:numId="45" w16cid:durableId="403723712">
    <w:abstractNumId w:val="29"/>
  </w:num>
  <w:num w:numId="46" w16cid:durableId="681783659">
    <w:abstractNumId w:val="22"/>
  </w:num>
  <w:num w:numId="47" w16cid:durableId="1398045200">
    <w:abstractNumId w:val="67"/>
  </w:num>
  <w:num w:numId="48" w16cid:durableId="1914510685">
    <w:abstractNumId w:val="68"/>
  </w:num>
  <w:num w:numId="49" w16cid:durableId="884876410">
    <w:abstractNumId w:val="35"/>
    <w:lvlOverride w:ilvl="0">
      <w:startOverride w:val="1"/>
    </w:lvlOverride>
  </w:num>
  <w:num w:numId="50" w16cid:durableId="1069310724">
    <w:abstractNumId w:val="35"/>
    <w:lvlOverride w:ilvl="0">
      <w:startOverride w:val="1"/>
    </w:lvlOverride>
  </w:num>
  <w:num w:numId="51" w16cid:durableId="1451977415">
    <w:abstractNumId w:val="35"/>
    <w:lvlOverride w:ilvl="0">
      <w:startOverride w:val="1"/>
    </w:lvlOverride>
  </w:num>
  <w:num w:numId="52" w16cid:durableId="1937206474">
    <w:abstractNumId w:val="21"/>
  </w:num>
  <w:num w:numId="53" w16cid:durableId="2034113429">
    <w:abstractNumId w:val="24"/>
  </w:num>
  <w:num w:numId="54" w16cid:durableId="1369183058">
    <w:abstractNumId w:val="24"/>
  </w:num>
  <w:num w:numId="55" w16cid:durableId="1387491521">
    <w:abstractNumId w:val="24"/>
  </w:num>
  <w:num w:numId="56" w16cid:durableId="729380920">
    <w:abstractNumId w:val="24"/>
  </w:num>
  <w:num w:numId="57" w16cid:durableId="770391683">
    <w:abstractNumId w:val="24"/>
  </w:num>
  <w:num w:numId="58" w16cid:durableId="599609140">
    <w:abstractNumId w:val="24"/>
  </w:num>
  <w:num w:numId="59" w16cid:durableId="307515627">
    <w:abstractNumId w:val="24"/>
  </w:num>
  <w:num w:numId="60" w16cid:durableId="698510077">
    <w:abstractNumId w:val="24"/>
  </w:num>
  <w:num w:numId="61" w16cid:durableId="922111078">
    <w:abstractNumId w:val="24"/>
  </w:num>
  <w:num w:numId="62" w16cid:durableId="1802193160">
    <w:abstractNumId w:val="24"/>
  </w:num>
  <w:num w:numId="63" w16cid:durableId="978999177">
    <w:abstractNumId w:val="24"/>
  </w:num>
  <w:num w:numId="64" w16cid:durableId="1824470080">
    <w:abstractNumId w:val="24"/>
  </w:num>
  <w:num w:numId="65" w16cid:durableId="143864354">
    <w:abstractNumId w:val="24"/>
  </w:num>
  <w:num w:numId="66" w16cid:durableId="90972234">
    <w:abstractNumId w:val="24"/>
  </w:num>
  <w:num w:numId="67" w16cid:durableId="1126811">
    <w:abstractNumId w:val="24"/>
  </w:num>
  <w:num w:numId="68" w16cid:durableId="2000884702">
    <w:abstractNumId w:val="24"/>
  </w:num>
  <w:num w:numId="69" w16cid:durableId="261692430">
    <w:abstractNumId w:val="30"/>
  </w:num>
  <w:num w:numId="70" w16cid:durableId="1965231365">
    <w:abstractNumId w:val="24"/>
  </w:num>
  <w:num w:numId="71" w16cid:durableId="2004047716">
    <w:abstractNumId w:val="24"/>
  </w:num>
  <w:num w:numId="72" w16cid:durableId="730351782">
    <w:abstractNumId w:val="24"/>
  </w:num>
  <w:num w:numId="73" w16cid:durableId="2028750981">
    <w:abstractNumId w:val="24"/>
  </w:num>
  <w:num w:numId="74" w16cid:durableId="669017590">
    <w:abstractNumId w:val="24"/>
  </w:num>
  <w:num w:numId="75" w16cid:durableId="1982809295">
    <w:abstractNumId w:val="24"/>
  </w:num>
  <w:num w:numId="76" w16cid:durableId="1058162908">
    <w:abstractNumId w:val="24"/>
  </w:num>
  <w:num w:numId="77" w16cid:durableId="1991055650">
    <w:abstractNumId w:val="24"/>
  </w:num>
  <w:num w:numId="78" w16cid:durableId="287787814">
    <w:abstractNumId w:val="24"/>
  </w:num>
  <w:num w:numId="79" w16cid:durableId="1908689630">
    <w:abstractNumId w:val="24"/>
  </w:num>
  <w:num w:numId="80" w16cid:durableId="718555383">
    <w:abstractNumId w:val="24"/>
  </w:num>
  <w:num w:numId="81" w16cid:durableId="1541042611">
    <w:abstractNumId w:val="24"/>
  </w:num>
  <w:num w:numId="82" w16cid:durableId="2127188358">
    <w:abstractNumId w:val="24"/>
  </w:num>
  <w:num w:numId="83" w16cid:durableId="865337384">
    <w:abstractNumId w:val="24"/>
  </w:num>
  <w:num w:numId="84" w16cid:durableId="198595805">
    <w:abstractNumId w:val="24"/>
  </w:num>
  <w:num w:numId="85" w16cid:durableId="1640065271">
    <w:abstractNumId w:val="24"/>
  </w:num>
  <w:num w:numId="86" w16cid:durableId="1220245247">
    <w:abstractNumId w:val="24"/>
  </w:num>
  <w:num w:numId="87" w16cid:durableId="602759681">
    <w:abstractNumId w:val="24"/>
  </w:num>
  <w:num w:numId="88" w16cid:durableId="65305546">
    <w:abstractNumId w:val="24"/>
  </w:num>
  <w:num w:numId="89" w16cid:durableId="277764669">
    <w:abstractNumId w:val="24"/>
  </w:num>
  <w:num w:numId="90" w16cid:durableId="405885960">
    <w:abstractNumId w:val="24"/>
  </w:num>
  <w:num w:numId="91" w16cid:durableId="1224172876">
    <w:abstractNumId w:val="24"/>
  </w:num>
  <w:num w:numId="92" w16cid:durableId="1196195716">
    <w:abstractNumId w:val="11"/>
  </w:num>
  <w:num w:numId="93" w16cid:durableId="1068110930">
    <w:abstractNumId w:val="24"/>
  </w:num>
  <w:num w:numId="94" w16cid:durableId="1427535208">
    <w:abstractNumId w:val="24"/>
  </w:num>
  <w:num w:numId="95" w16cid:durableId="197864314">
    <w:abstractNumId w:val="24"/>
  </w:num>
  <w:num w:numId="96" w16cid:durableId="673917720">
    <w:abstractNumId w:val="24"/>
  </w:num>
  <w:num w:numId="97" w16cid:durableId="67272062">
    <w:abstractNumId w:val="24"/>
  </w:num>
  <w:num w:numId="98" w16cid:durableId="1859150981">
    <w:abstractNumId w:val="24"/>
  </w:num>
  <w:num w:numId="99" w16cid:durableId="149300054">
    <w:abstractNumId w:val="24"/>
  </w:num>
  <w:num w:numId="100" w16cid:durableId="1050882254">
    <w:abstractNumId w:val="48"/>
  </w:num>
  <w:num w:numId="101" w16cid:durableId="1643998735">
    <w:abstractNumId w:val="24"/>
  </w:num>
  <w:num w:numId="102" w16cid:durableId="1266376546">
    <w:abstractNumId w:val="24"/>
  </w:num>
  <w:num w:numId="103" w16cid:durableId="949170589">
    <w:abstractNumId w:val="24"/>
  </w:num>
  <w:num w:numId="104" w16cid:durableId="1914928946">
    <w:abstractNumId w:val="24"/>
  </w:num>
  <w:num w:numId="105" w16cid:durableId="796685250">
    <w:abstractNumId w:val="24"/>
  </w:num>
  <w:num w:numId="106" w16cid:durableId="1319000029">
    <w:abstractNumId w:val="24"/>
  </w:num>
  <w:num w:numId="107" w16cid:durableId="527332370">
    <w:abstractNumId w:val="24"/>
  </w:num>
  <w:num w:numId="108" w16cid:durableId="58404050">
    <w:abstractNumId w:val="24"/>
  </w:num>
  <w:num w:numId="109" w16cid:durableId="1091313777">
    <w:abstractNumId w:val="24"/>
  </w:num>
  <w:num w:numId="110" w16cid:durableId="1499345149">
    <w:abstractNumId w:val="59"/>
  </w:num>
  <w:num w:numId="111" w16cid:durableId="955217666">
    <w:abstractNumId w:val="24"/>
  </w:num>
  <w:num w:numId="112" w16cid:durableId="39332439">
    <w:abstractNumId w:val="24"/>
  </w:num>
  <w:num w:numId="113" w16cid:durableId="950670235">
    <w:abstractNumId w:val="24"/>
  </w:num>
  <w:num w:numId="114" w16cid:durableId="45957161">
    <w:abstractNumId w:val="7"/>
  </w:num>
  <w:num w:numId="115" w16cid:durableId="938487808">
    <w:abstractNumId w:val="24"/>
  </w:num>
  <w:num w:numId="116" w16cid:durableId="1496453939">
    <w:abstractNumId w:val="24"/>
  </w:num>
  <w:num w:numId="117" w16cid:durableId="757604651">
    <w:abstractNumId w:val="24"/>
  </w:num>
  <w:num w:numId="118" w16cid:durableId="885994750">
    <w:abstractNumId w:val="24"/>
  </w:num>
  <w:num w:numId="119" w16cid:durableId="1020661791">
    <w:abstractNumId w:val="24"/>
  </w:num>
  <w:num w:numId="120" w16cid:durableId="1373846127">
    <w:abstractNumId w:val="24"/>
  </w:num>
  <w:num w:numId="121" w16cid:durableId="1094934410">
    <w:abstractNumId w:val="78"/>
  </w:num>
  <w:num w:numId="122" w16cid:durableId="109863657">
    <w:abstractNumId w:val="24"/>
  </w:num>
  <w:num w:numId="123" w16cid:durableId="808011309">
    <w:abstractNumId w:val="24"/>
  </w:num>
  <w:num w:numId="124" w16cid:durableId="1845899273">
    <w:abstractNumId w:val="24"/>
  </w:num>
  <w:num w:numId="125" w16cid:durableId="1966739311">
    <w:abstractNumId w:val="24"/>
  </w:num>
  <w:num w:numId="126" w16cid:durableId="2056470188">
    <w:abstractNumId w:val="24"/>
  </w:num>
  <w:num w:numId="127" w16cid:durableId="677118828">
    <w:abstractNumId w:val="24"/>
  </w:num>
  <w:num w:numId="128" w16cid:durableId="978924168">
    <w:abstractNumId w:val="40"/>
  </w:num>
  <w:num w:numId="129" w16cid:durableId="2111662721">
    <w:abstractNumId w:val="24"/>
  </w:num>
  <w:num w:numId="130" w16cid:durableId="947590058">
    <w:abstractNumId w:val="35"/>
    <w:lvlOverride w:ilvl="0">
      <w:startOverride w:val="1"/>
    </w:lvlOverride>
  </w:num>
  <w:num w:numId="131" w16cid:durableId="370301518">
    <w:abstractNumId w:val="35"/>
    <w:lvlOverride w:ilvl="0">
      <w:startOverride w:val="1"/>
    </w:lvlOverride>
  </w:num>
  <w:num w:numId="132" w16cid:durableId="302001274">
    <w:abstractNumId w:val="24"/>
  </w:num>
  <w:num w:numId="133" w16cid:durableId="1635061956">
    <w:abstractNumId w:val="24"/>
  </w:num>
  <w:num w:numId="134" w16cid:durableId="1396321709">
    <w:abstractNumId w:val="24"/>
  </w:num>
  <w:num w:numId="135" w16cid:durableId="1707481601">
    <w:abstractNumId w:val="24"/>
  </w:num>
  <w:num w:numId="136" w16cid:durableId="1960532041">
    <w:abstractNumId w:val="24"/>
  </w:num>
  <w:num w:numId="137" w16cid:durableId="710417040">
    <w:abstractNumId w:val="24"/>
  </w:num>
  <w:num w:numId="138" w16cid:durableId="1087312844">
    <w:abstractNumId w:val="9"/>
  </w:num>
  <w:num w:numId="139" w16cid:durableId="1355615862">
    <w:abstractNumId w:val="24"/>
  </w:num>
  <w:num w:numId="140" w16cid:durableId="87193662">
    <w:abstractNumId w:val="24"/>
  </w:num>
  <w:num w:numId="141" w16cid:durableId="1861119722">
    <w:abstractNumId w:val="24"/>
  </w:num>
  <w:num w:numId="142" w16cid:durableId="752513606">
    <w:abstractNumId w:val="24"/>
  </w:num>
  <w:num w:numId="143" w16cid:durableId="2038387800">
    <w:abstractNumId w:val="24"/>
  </w:num>
  <w:num w:numId="144" w16cid:durableId="649601427">
    <w:abstractNumId w:val="24"/>
  </w:num>
  <w:num w:numId="145" w16cid:durableId="1528787523">
    <w:abstractNumId w:val="24"/>
  </w:num>
  <w:num w:numId="146" w16cid:durableId="902986566">
    <w:abstractNumId w:val="38"/>
  </w:num>
  <w:num w:numId="147" w16cid:durableId="1240213407">
    <w:abstractNumId w:val="24"/>
  </w:num>
  <w:num w:numId="148" w16cid:durableId="246497517">
    <w:abstractNumId w:val="24"/>
  </w:num>
  <w:num w:numId="149" w16cid:durableId="1028721960">
    <w:abstractNumId w:val="24"/>
  </w:num>
  <w:num w:numId="150" w16cid:durableId="1706634940">
    <w:abstractNumId w:val="24"/>
  </w:num>
  <w:num w:numId="151" w16cid:durableId="2006664468">
    <w:abstractNumId w:val="24"/>
  </w:num>
  <w:num w:numId="152" w16cid:durableId="374432793">
    <w:abstractNumId w:val="24"/>
  </w:num>
  <w:num w:numId="153" w16cid:durableId="561522167">
    <w:abstractNumId w:val="24"/>
  </w:num>
  <w:num w:numId="154" w16cid:durableId="945582310">
    <w:abstractNumId w:val="24"/>
  </w:num>
  <w:num w:numId="155" w16cid:durableId="236328690">
    <w:abstractNumId w:val="28"/>
  </w:num>
  <w:num w:numId="156" w16cid:durableId="1473517241">
    <w:abstractNumId w:val="24"/>
  </w:num>
  <w:num w:numId="157" w16cid:durableId="421876685">
    <w:abstractNumId w:val="24"/>
  </w:num>
  <w:num w:numId="158" w16cid:durableId="350181524">
    <w:abstractNumId w:val="24"/>
  </w:num>
  <w:num w:numId="159" w16cid:durableId="1213536604">
    <w:abstractNumId w:val="24"/>
  </w:num>
  <w:num w:numId="160" w16cid:durableId="1560437304">
    <w:abstractNumId w:val="63"/>
  </w:num>
  <w:num w:numId="161" w16cid:durableId="1515069835">
    <w:abstractNumId w:val="24"/>
  </w:num>
  <w:num w:numId="162" w16cid:durableId="160320085">
    <w:abstractNumId w:val="24"/>
  </w:num>
  <w:num w:numId="163" w16cid:durableId="1195848712">
    <w:abstractNumId w:val="24"/>
  </w:num>
  <w:num w:numId="164" w16cid:durableId="1250389081">
    <w:abstractNumId w:val="24"/>
  </w:num>
  <w:num w:numId="165" w16cid:durableId="332034451">
    <w:abstractNumId w:val="24"/>
  </w:num>
  <w:num w:numId="166" w16cid:durableId="1074746368">
    <w:abstractNumId w:val="24"/>
  </w:num>
  <w:num w:numId="167" w16cid:durableId="352609170">
    <w:abstractNumId w:val="24"/>
  </w:num>
  <w:num w:numId="168" w16cid:durableId="1183587456">
    <w:abstractNumId w:val="53"/>
  </w:num>
  <w:num w:numId="169" w16cid:durableId="580867614">
    <w:abstractNumId w:val="24"/>
  </w:num>
  <w:num w:numId="170" w16cid:durableId="49233258">
    <w:abstractNumId w:val="24"/>
  </w:num>
  <w:num w:numId="171" w16cid:durableId="331035694">
    <w:abstractNumId w:val="24"/>
  </w:num>
  <w:num w:numId="172" w16cid:durableId="1478523993">
    <w:abstractNumId w:val="24"/>
  </w:num>
  <w:num w:numId="173" w16cid:durableId="1675110365">
    <w:abstractNumId w:val="55"/>
  </w:num>
  <w:num w:numId="174" w16cid:durableId="1704400527">
    <w:abstractNumId w:val="24"/>
  </w:num>
  <w:num w:numId="175" w16cid:durableId="901327334">
    <w:abstractNumId w:val="24"/>
  </w:num>
  <w:num w:numId="176" w16cid:durableId="375660183">
    <w:abstractNumId w:val="24"/>
  </w:num>
  <w:num w:numId="177" w16cid:durableId="1251112371">
    <w:abstractNumId w:val="31"/>
  </w:num>
  <w:num w:numId="178" w16cid:durableId="1470585232">
    <w:abstractNumId w:val="24"/>
  </w:num>
  <w:num w:numId="179" w16cid:durableId="118040238">
    <w:abstractNumId w:val="24"/>
  </w:num>
  <w:num w:numId="180" w16cid:durableId="1268778088">
    <w:abstractNumId w:val="24"/>
  </w:num>
  <w:num w:numId="181" w16cid:durableId="449708777">
    <w:abstractNumId w:val="24"/>
  </w:num>
  <w:num w:numId="182" w16cid:durableId="1259217120">
    <w:abstractNumId w:val="58"/>
  </w:num>
  <w:num w:numId="183" w16cid:durableId="176425294">
    <w:abstractNumId w:val="24"/>
  </w:num>
  <w:num w:numId="184" w16cid:durableId="1782454060">
    <w:abstractNumId w:val="24"/>
  </w:num>
  <w:num w:numId="185" w16cid:durableId="54476270">
    <w:abstractNumId w:val="24"/>
  </w:num>
  <w:num w:numId="186" w16cid:durableId="1903247970">
    <w:abstractNumId w:val="24"/>
  </w:num>
  <w:num w:numId="187" w16cid:durableId="731386205">
    <w:abstractNumId w:val="24"/>
  </w:num>
  <w:num w:numId="188" w16cid:durableId="1669678216">
    <w:abstractNumId w:val="24"/>
  </w:num>
  <w:num w:numId="189" w16cid:durableId="20590705">
    <w:abstractNumId w:val="24"/>
  </w:num>
  <w:num w:numId="190" w16cid:durableId="2064674443">
    <w:abstractNumId w:val="4"/>
  </w:num>
  <w:num w:numId="191" w16cid:durableId="1155296620">
    <w:abstractNumId w:val="50"/>
  </w:num>
  <w:num w:numId="192" w16cid:durableId="342056393">
    <w:abstractNumId w:val="35"/>
    <w:lvlOverride w:ilvl="0">
      <w:startOverride w:val="1"/>
    </w:lvlOverride>
  </w:num>
  <w:num w:numId="193" w16cid:durableId="921065987">
    <w:abstractNumId w:val="35"/>
    <w:lvlOverride w:ilvl="0">
      <w:startOverride w:val="1"/>
    </w:lvlOverride>
  </w:num>
  <w:num w:numId="194" w16cid:durableId="94254947">
    <w:abstractNumId w:val="24"/>
  </w:num>
  <w:num w:numId="195" w16cid:durableId="498812056">
    <w:abstractNumId w:val="56"/>
  </w:num>
  <w:num w:numId="196" w16cid:durableId="1946032331">
    <w:abstractNumId w:val="35"/>
    <w:lvlOverride w:ilvl="0">
      <w:startOverride w:val="1"/>
    </w:lvlOverride>
  </w:num>
  <w:num w:numId="197" w16cid:durableId="352607649">
    <w:abstractNumId w:val="41"/>
  </w:num>
  <w:num w:numId="198" w16cid:durableId="287005341">
    <w:abstractNumId w:val="24"/>
  </w:num>
  <w:num w:numId="199" w16cid:durableId="651107946">
    <w:abstractNumId w:val="24"/>
  </w:num>
  <w:num w:numId="200" w16cid:durableId="1666473704">
    <w:abstractNumId w:val="24"/>
  </w:num>
  <w:num w:numId="201" w16cid:durableId="2104648105">
    <w:abstractNumId w:val="24"/>
  </w:num>
  <w:num w:numId="202" w16cid:durableId="319509302">
    <w:abstractNumId w:val="24"/>
  </w:num>
  <w:num w:numId="203" w16cid:durableId="1113593265">
    <w:abstractNumId w:val="24"/>
  </w:num>
  <w:num w:numId="204" w16cid:durableId="653410848">
    <w:abstractNumId w:val="24"/>
  </w:num>
  <w:num w:numId="205" w16cid:durableId="1862740821">
    <w:abstractNumId w:val="47"/>
  </w:num>
  <w:num w:numId="206" w16cid:durableId="976885148">
    <w:abstractNumId w:val="35"/>
    <w:lvlOverride w:ilvl="0">
      <w:startOverride w:val="1"/>
    </w:lvlOverride>
  </w:num>
  <w:num w:numId="207" w16cid:durableId="313602830">
    <w:abstractNumId w:val="35"/>
    <w:lvlOverride w:ilvl="0">
      <w:startOverride w:val="1"/>
    </w:lvlOverride>
  </w:num>
  <w:num w:numId="208" w16cid:durableId="766195725">
    <w:abstractNumId w:val="24"/>
  </w:num>
  <w:num w:numId="209" w16cid:durableId="59451316">
    <w:abstractNumId w:val="25"/>
  </w:num>
  <w:num w:numId="210" w16cid:durableId="349377375">
    <w:abstractNumId w:val="24"/>
  </w:num>
  <w:num w:numId="211" w16cid:durableId="1051462439">
    <w:abstractNumId w:val="34"/>
  </w:num>
  <w:num w:numId="212" w16cid:durableId="2084132741">
    <w:abstractNumId w:val="45"/>
  </w:num>
  <w:num w:numId="213" w16cid:durableId="1235311453">
    <w:abstractNumId w:val="24"/>
  </w:num>
  <w:num w:numId="214" w16cid:durableId="1917595538">
    <w:abstractNumId w:val="24"/>
  </w:num>
  <w:num w:numId="215" w16cid:durableId="949240564">
    <w:abstractNumId w:val="24"/>
  </w:num>
  <w:num w:numId="216" w16cid:durableId="1680082903">
    <w:abstractNumId w:val="24"/>
  </w:num>
  <w:num w:numId="217" w16cid:durableId="1798066933">
    <w:abstractNumId w:val="24"/>
  </w:num>
  <w:num w:numId="218" w16cid:durableId="826702109">
    <w:abstractNumId w:val="24"/>
  </w:num>
  <w:num w:numId="219" w16cid:durableId="629366079">
    <w:abstractNumId w:val="24"/>
  </w:num>
  <w:num w:numId="220" w16cid:durableId="1470783289">
    <w:abstractNumId w:val="24"/>
  </w:num>
  <w:num w:numId="221" w16cid:durableId="1860659590">
    <w:abstractNumId w:val="24"/>
  </w:num>
  <w:num w:numId="222" w16cid:durableId="1469010718">
    <w:abstractNumId w:val="24"/>
  </w:num>
  <w:num w:numId="223" w16cid:durableId="976644830">
    <w:abstractNumId w:val="24"/>
  </w:num>
  <w:num w:numId="224" w16cid:durableId="972297957">
    <w:abstractNumId w:val="24"/>
  </w:num>
  <w:num w:numId="225" w16cid:durableId="1444106921">
    <w:abstractNumId w:val="24"/>
  </w:num>
  <w:num w:numId="226" w16cid:durableId="597447278">
    <w:abstractNumId w:val="24"/>
  </w:num>
  <w:num w:numId="227" w16cid:durableId="565994572">
    <w:abstractNumId w:val="24"/>
  </w:num>
  <w:num w:numId="228" w16cid:durableId="1645041870">
    <w:abstractNumId w:val="24"/>
  </w:num>
  <w:num w:numId="229" w16cid:durableId="865680538">
    <w:abstractNumId w:val="24"/>
  </w:num>
  <w:num w:numId="230" w16cid:durableId="1940485812">
    <w:abstractNumId w:val="16"/>
  </w:num>
  <w:num w:numId="231" w16cid:durableId="1555046015">
    <w:abstractNumId w:val="35"/>
    <w:lvlOverride w:ilvl="0">
      <w:startOverride w:val="1"/>
    </w:lvlOverride>
  </w:num>
  <w:num w:numId="232" w16cid:durableId="1484658179">
    <w:abstractNumId w:val="35"/>
    <w:lvlOverride w:ilvl="0">
      <w:startOverride w:val="1"/>
    </w:lvlOverride>
  </w:num>
  <w:num w:numId="233" w16cid:durableId="1020470290">
    <w:abstractNumId w:val="72"/>
  </w:num>
  <w:num w:numId="234" w16cid:durableId="628435004">
    <w:abstractNumId w:val="51"/>
  </w:num>
  <w:num w:numId="235" w16cid:durableId="479150996">
    <w:abstractNumId w:val="43"/>
  </w:num>
  <w:num w:numId="236" w16cid:durableId="1651205804">
    <w:abstractNumId w:val="26"/>
  </w:num>
  <w:num w:numId="237" w16cid:durableId="1815440896">
    <w:abstractNumId w:val="70"/>
  </w:num>
  <w:num w:numId="238" w16cid:durableId="1070998760">
    <w:abstractNumId w:val="64"/>
  </w:num>
  <w:num w:numId="239" w16cid:durableId="559948658">
    <w:abstractNumId w:val="0"/>
  </w:num>
  <w:num w:numId="240" w16cid:durableId="291130992">
    <w:abstractNumId w:val="15"/>
  </w:num>
  <w:num w:numId="241" w16cid:durableId="1681466924">
    <w:abstractNumId w:val="2"/>
  </w:num>
  <w:num w:numId="242" w16cid:durableId="1625649128">
    <w:abstractNumId w:val="46"/>
  </w:num>
  <w:num w:numId="243" w16cid:durableId="512961911">
    <w:abstractNumId w:val="32"/>
  </w:num>
  <w:num w:numId="244" w16cid:durableId="1425033988">
    <w:abstractNumId w:val="35"/>
    <w:lvlOverride w:ilvl="0">
      <w:startOverride w:val="1"/>
    </w:lvlOverride>
  </w:num>
  <w:num w:numId="245" w16cid:durableId="1910767865">
    <w:abstractNumId w:val="35"/>
    <w:lvlOverride w:ilvl="0">
      <w:startOverride w:val="1"/>
    </w:lvlOverride>
  </w:num>
  <w:num w:numId="246" w16cid:durableId="2108690374">
    <w:abstractNumId w:val="35"/>
    <w:lvlOverride w:ilvl="0">
      <w:startOverride w:val="1"/>
    </w:lvlOverride>
  </w:num>
  <w:num w:numId="247" w16cid:durableId="259946253">
    <w:abstractNumId w:val="1"/>
  </w:num>
  <w:num w:numId="248" w16cid:durableId="650712282">
    <w:abstractNumId w:val="35"/>
    <w:lvlOverride w:ilvl="0">
      <w:startOverride w:val="1"/>
    </w:lvlOverride>
  </w:num>
  <w:num w:numId="249" w16cid:durableId="136919529">
    <w:abstractNumId w:val="35"/>
    <w:lvlOverride w:ilvl="0">
      <w:startOverride w:val="1"/>
    </w:lvlOverride>
  </w:num>
  <w:num w:numId="250" w16cid:durableId="1619528455">
    <w:abstractNumId w:val="35"/>
    <w:lvlOverride w:ilvl="0">
      <w:startOverride w:val="1"/>
    </w:lvlOverride>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A7"/>
    <w:rsid w:val="0000056C"/>
    <w:rsid w:val="000021D7"/>
    <w:rsid w:val="0000273C"/>
    <w:rsid w:val="00005441"/>
    <w:rsid w:val="00005C25"/>
    <w:rsid w:val="00006FE5"/>
    <w:rsid w:val="0001040A"/>
    <w:rsid w:val="00010C1A"/>
    <w:rsid w:val="00011D18"/>
    <w:rsid w:val="00012D68"/>
    <w:rsid w:val="00013B7D"/>
    <w:rsid w:val="00015A43"/>
    <w:rsid w:val="000168AA"/>
    <w:rsid w:val="0001707A"/>
    <w:rsid w:val="00017B1B"/>
    <w:rsid w:val="00020241"/>
    <w:rsid w:val="00020C11"/>
    <w:rsid w:val="00020DFA"/>
    <w:rsid w:val="00021D43"/>
    <w:rsid w:val="000222BD"/>
    <w:rsid w:val="000230DC"/>
    <w:rsid w:val="000234BE"/>
    <w:rsid w:val="00023FCE"/>
    <w:rsid w:val="0002407F"/>
    <w:rsid w:val="0002450C"/>
    <w:rsid w:val="0002498B"/>
    <w:rsid w:val="00024B38"/>
    <w:rsid w:val="000250E6"/>
    <w:rsid w:val="00026414"/>
    <w:rsid w:val="000268B7"/>
    <w:rsid w:val="00026FBE"/>
    <w:rsid w:val="000273F6"/>
    <w:rsid w:val="00027695"/>
    <w:rsid w:val="00027B62"/>
    <w:rsid w:val="00027F63"/>
    <w:rsid w:val="0003068F"/>
    <w:rsid w:val="00031C34"/>
    <w:rsid w:val="00033193"/>
    <w:rsid w:val="00033357"/>
    <w:rsid w:val="00033E46"/>
    <w:rsid w:val="00035697"/>
    <w:rsid w:val="000418C9"/>
    <w:rsid w:val="00041F40"/>
    <w:rsid w:val="00046341"/>
    <w:rsid w:val="000470E1"/>
    <w:rsid w:val="0004769E"/>
    <w:rsid w:val="00050C56"/>
    <w:rsid w:val="00050D58"/>
    <w:rsid w:val="0005109D"/>
    <w:rsid w:val="00051587"/>
    <w:rsid w:val="0005160A"/>
    <w:rsid w:val="00051695"/>
    <w:rsid w:val="000522FB"/>
    <w:rsid w:val="00054169"/>
    <w:rsid w:val="000550A7"/>
    <w:rsid w:val="0005577F"/>
    <w:rsid w:val="00055D40"/>
    <w:rsid w:val="00056124"/>
    <w:rsid w:val="00056B99"/>
    <w:rsid w:val="00060148"/>
    <w:rsid w:val="000610B9"/>
    <w:rsid w:val="000626AF"/>
    <w:rsid w:val="00062A85"/>
    <w:rsid w:val="00063216"/>
    <w:rsid w:val="0006374F"/>
    <w:rsid w:val="00064546"/>
    <w:rsid w:val="0006460D"/>
    <w:rsid w:val="00064614"/>
    <w:rsid w:val="00064A50"/>
    <w:rsid w:val="00066056"/>
    <w:rsid w:val="00066BBB"/>
    <w:rsid w:val="000674BE"/>
    <w:rsid w:val="00067BAA"/>
    <w:rsid w:val="00067BE2"/>
    <w:rsid w:val="00067C0C"/>
    <w:rsid w:val="00070A8F"/>
    <w:rsid w:val="00070F88"/>
    <w:rsid w:val="000711EB"/>
    <w:rsid w:val="00071467"/>
    <w:rsid w:val="00071793"/>
    <w:rsid w:val="000724FC"/>
    <w:rsid w:val="000732D2"/>
    <w:rsid w:val="00073427"/>
    <w:rsid w:val="000736BF"/>
    <w:rsid w:val="00073881"/>
    <w:rsid w:val="00074D8B"/>
    <w:rsid w:val="00074E81"/>
    <w:rsid w:val="00076544"/>
    <w:rsid w:val="00076FD0"/>
    <w:rsid w:val="0007761C"/>
    <w:rsid w:val="00077C4E"/>
    <w:rsid w:val="00080478"/>
    <w:rsid w:val="00080B7D"/>
    <w:rsid w:val="0008131E"/>
    <w:rsid w:val="00081934"/>
    <w:rsid w:val="000831EC"/>
    <w:rsid w:val="0008332C"/>
    <w:rsid w:val="00083A9E"/>
    <w:rsid w:val="00084C0E"/>
    <w:rsid w:val="00085FC9"/>
    <w:rsid w:val="00087DF7"/>
    <w:rsid w:val="00087E97"/>
    <w:rsid w:val="000904C4"/>
    <w:rsid w:val="000909E5"/>
    <w:rsid w:val="0009183B"/>
    <w:rsid w:val="00091A66"/>
    <w:rsid w:val="000923AB"/>
    <w:rsid w:val="000942B7"/>
    <w:rsid w:val="00096660"/>
    <w:rsid w:val="0009667E"/>
    <w:rsid w:val="00096705"/>
    <w:rsid w:val="00097205"/>
    <w:rsid w:val="00097DA8"/>
    <w:rsid w:val="000A04D7"/>
    <w:rsid w:val="000A0C14"/>
    <w:rsid w:val="000A1827"/>
    <w:rsid w:val="000A2D41"/>
    <w:rsid w:val="000A39B1"/>
    <w:rsid w:val="000A3A63"/>
    <w:rsid w:val="000A4B3F"/>
    <w:rsid w:val="000A71F3"/>
    <w:rsid w:val="000B1475"/>
    <w:rsid w:val="000B499E"/>
    <w:rsid w:val="000B5E06"/>
    <w:rsid w:val="000B6F08"/>
    <w:rsid w:val="000C0741"/>
    <w:rsid w:val="000C2918"/>
    <w:rsid w:val="000C3019"/>
    <w:rsid w:val="000C5D7B"/>
    <w:rsid w:val="000C6686"/>
    <w:rsid w:val="000C701E"/>
    <w:rsid w:val="000C701F"/>
    <w:rsid w:val="000C7CA3"/>
    <w:rsid w:val="000D04B6"/>
    <w:rsid w:val="000D0711"/>
    <w:rsid w:val="000D1C8B"/>
    <w:rsid w:val="000D1E44"/>
    <w:rsid w:val="000D312B"/>
    <w:rsid w:val="000D3199"/>
    <w:rsid w:val="000D40AE"/>
    <w:rsid w:val="000D4F61"/>
    <w:rsid w:val="000D5F26"/>
    <w:rsid w:val="000E0021"/>
    <w:rsid w:val="000E21F1"/>
    <w:rsid w:val="000E27EF"/>
    <w:rsid w:val="000E2CBD"/>
    <w:rsid w:val="000E40D3"/>
    <w:rsid w:val="000E41DA"/>
    <w:rsid w:val="000E4EE3"/>
    <w:rsid w:val="000E7A77"/>
    <w:rsid w:val="000F0038"/>
    <w:rsid w:val="000F0D66"/>
    <w:rsid w:val="000F1F12"/>
    <w:rsid w:val="000F2858"/>
    <w:rsid w:val="000F2AE0"/>
    <w:rsid w:val="000F2B9F"/>
    <w:rsid w:val="000F30B8"/>
    <w:rsid w:val="000F3421"/>
    <w:rsid w:val="000F373A"/>
    <w:rsid w:val="000F3B1B"/>
    <w:rsid w:val="000F4811"/>
    <w:rsid w:val="000F4B1D"/>
    <w:rsid w:val="000F5ED9"/>
    <w:rsid w:val="000F68FE"/>
    <w:rsid w:val="000F6D32"/>
    <w:rsid w:val="00101654"/>
    <w:rsid w:val="00101977"/>
    <w:rsid w:val="00102525"/>
    <w:rsid w:val="00102702"/>
    <w:rsid w:val="0010304A"/>
    <w:rsid w:val="00103EE0"/>
    <w:rsid w:val="001043EB"/>
    <w:rsid w:val="0010447E"/>
    <w:rsid w:val="0010496C"/>
    <w:rsid w:val="0011064C"/>
    <w:rsid w:val="00110868"/>
    <w:rsid w:val="00110A97"/>
    <w:rsid w:val="001112D7"/>
    <w:rsid w:val="001118E9"/>
    <w:rsid w:val="00112057"/>
    <w:rsid w:val="0011224F"/>
    <w:rsid w:val="00113C88"/>
    <w:rsid w:val="00115934"/>
    <w:rsid w:val="00116B5C"/>
    <w:rsid w:val="0011780B"/>
    <w:rsid w:val="001203CB"/>
    <w:rsid w:val="001207ED"/>
    <w:rsid w:val="0012101D"/>
    <w:rsid w:val="00122914"/>
    <w:rsid w:val="00123188"/>
    <w:rsid w:val="001237C8"/>
    <w:rsid w:val="00124505"/>
    <w:rsid w:val="001250F4"/>
    <w:rsid w:val="001255A4"/>
    <w:rsid w:val="0013122F"/>
    <w:rsid w:val="0013141C"/>
    <w:rsid w:val="00132260"/>
    <w:rsid w:val="001326A9"/>
    <w:rsid w:val="00133A51"/>
    <w:rsid w:val="00134F1E"/>
    <w:rsid w:val="00135047"/>
    <w:rsid w:val="001356A6"/>
    <w:rsid w:val="001357D0"/>
    <w:rsid w:val="00135B06"/>
    <w:rsid w:val="00135F34"/>
    <w:rsid w:val="00136260"/>
    <w:rsid w:val="001421CC"/>
    <w:rsid w:val="00143691"/>
    <w:rsid w:val="00143E8D"/>
    <w:rsid w:val="001445D4"/>
    <w:rsid w:val="00144800"/>
    <w:rsid w:val="00144E68"/>
    <w:rsid w:val="00147733"/>
    <w:rsid w:val="00150045"/>
    <w:rsid w:val="001512F4"/>
    <w:rsid w:val="00151EB4"/>
    <w:rsid w:val="00152DBF"/>
    <w:rsid w:val="00153A1E"/>
    <w:rsid w:val="00153D60"/>
    <w:rsid w:val="0015442F"/>
    <w:rsid w:val="00154765"/>
    <w:rsid w:val="0015483C"/>
    <w:rsid w:val="00155F6D"/>
    <w:rsid w:val="00156EC3"/>
    <w:rsid w:val="00156F4F"/>
    <w:rsid w:val="001572F0"/>
    <w:rsid w:val="001605E8"/>
    <w:rsid w:val="00160BE2"/>
    <w:rsid w:val="001631C4"/>
    <w:rsid w:val="00163881"/>
    <w:rsid w:val="00163E28"/>
    <w:rsid w:val="00164E9A"/>
    <w:rsid w:val="00164F36"/>
    <w:rsid w:val="001653AA"/>
    <w:rsid w:val="0016564C"/>
    <w:rsid w:val="00165743"/>
    <w:rsid w:val="00166E49"/>
    <w:rsid w:val="00166F6C"/>
    <w:rsid w:val="0017014E"/>
    <w:rsid w:val="001720BD"/>
    <w:rsid w:val="001727FE"/>
    <w:rsid w:val="00173EC0"/>
    <w:rsid w:val="001747F6"/>
    <w:rsid w:val="00174DD8"/>
    <w:rsid w:val="00175C1F"/>
    <w:rsid w:val="00176488"/>
    <w:rsid w:val="00176575"/>
    <w:rsid w:val="00176C3D"/>
    <w:rsid w:val="00176F07"/>
    <w:rsid w:val="00177356"/>
    <w:rsid w:val="0018359E"/>
    <w:rsid w:val="00183A5E"/>
    <w:rsid w:val="00183E6F"/>
    <w:rsid w:val="001845D5"/>
    <w:rsid w:val="00185426"/>
    <w:rsid w:val="001855A5"/>
    <w:rsid w:val="0018619A"/>
    <w:rsid w:val="001862F3"/>
    <w:rsid w:val="001864E3"/>
    <w:rsid w:val="001870A7"/>
    <w:rsid w:val="001873B4"/>
    <w:rsid w:val="001874A5"/>
    <w:rsid w:val="001876D9"/>
    <w:rsid w:val="00192E9A"/>
    <w:rsid w:val="00193BDE"/>
    <w:rsid w:val="00195C7F"/>
    <w:rsid w:val="00196898"/>
    <w:rsid w:val="00197277"/>
    <w:rsid w:val="00197350"/>
    <w:rsid w:val="0019773E"/>
    <w:rsid w:val="001A2918"/>
    <w:rsid w:val="001A2BAA"/>
    <w:rsid w:val="001A3C9D"/>
    <w:rsid w:val="001B292A"/>
    <w:rsid w:val="001B3486"/>
    <w:rsid w:val="001B4FAE"/>
    <w:rsid w:val="001B74E9"/>
    <w:rsid w:val="001B7C24"/>
    <w:rsid w:val="001C0863"/>
    <w:rsid w:val="001C0BEE"/>
    <w:rsid w:val="001C0FAA"/>
    <w:rsid w:val="001C1F19"/>
    <w:rsid w:val="001C24F1"/>
    <w:rsid w:val="001C3803"/>
    <w:rsid w:val="001C3BD9"/>
    <w:rsid w:val="001C466F"/>
    <w:rsid w:val="001C510F"/>
    <w:rsid w:val="001C5BDD"/>
    <w:rsid w:val="001C5C33"/>
    <w:rsid w:val="001C5CA4"/>
    <w:rsid w:val="001C5EC3"/>
    <w:rsid w:val="001C61CC"/>
    <w:rsid w:val="001C7E29"/>
    <w:rsid w:val="001D0795"/>
    <w:rsid w:val="001D079B"/>
    <w:rsid w:val="001D0AA1"/>
    <w:rsid w:val="001D1270"/>
    <w:rsid w:val="001D33B2"/>
    <w:rsid w:val="001D4211"/>
    <w:rsid w:val="001D45B7"/>
    <w:rsid w:val="001D538C"/>
    <w:rsid w:val="001D5999"/>
    <w:rsid w:val="001D59FD"/>
    <w:rsid w:val="001D5A59"/>
    <w:rsid w:val="001D5B72"/>
    <w:rsid w:val="001D5FE6"/>
    <w:rsid w:val="001D60A8"/>
    <w:rsid w:val="001D7401"/>
    <w:rsid w:val="001E0C10"/>
    <w:rsid w:val="001E1B36"/>
    <w:rsid w:val="001E2D3D"/>
    <w:rsid w:val="001E34FF"/>
    <w:rsid w:val="001E4231"/>
    <w:rsid w:val="001E621D"/>
    <w:rsid w:val="001E73D9"/>
    <w:rsid w:val="001E7577"/>
    <w:rsid w:val="001F0641"/>
    <w:rsid w:val="001F0E5D"/>
    <w:rsid w:val="001F10D8"/>
    <w:rsid w:val="001F1610"/>
    <w:rsid w:val="001F1D76"/>
    <w:rsid w:val="001F33A6"/>
    <w:rsid w:val="001F41D3"/>
    <w:rsid w:val="001F4A79"/>
    <w:rsid w:val="001F5EF2"/>
    <w:rsid w:val="001F7518"/>
    <w:rsid w:val="001F7CF7"/>
    <w:rsid w:val="001F7E0C"/>
    <w:rsid w:val="002012AD"/>
    <w:rsid w:val="0020331F"/>
    <w:rsid w:val="002038F8"/>
    <w:rsid w:val="00204494"/>
    <w:rsid w:val="00204846"/>
    <w:rsid w:val="00205438"/>
    <w:rsid w:val="002060E0"/>
    <w:rsid w:val="00206642"/>
    <w:rsid w:val="00206BC7"/>
    <w:rsid w:val="00207382"/>
    <w:rsid w:val="002078C6"/>
    <w:rsid w:val="0021091C"/>
    <w:rsid w:val="002120E4"/>
    <w:rsid w:val="00212FF7"/>
    <w:rsid w:val="002130DC"/>
    <w:rsid w:val="0021357A"/>
    <w:rsid w:val="00213916"/>
    <w:rsid w:val="00214230"/>
    <w:rsid w:val="0021484C"/>
    <w:rsid w:val="00217A5C"/>
    <w:rsid w:val="00217AEE"/>
    <w:rsid w:val="0022056B"/>
    <w:rsid w:val="00220E8C"/>
    <w:rsid w:val="0022177A"/>
    <w:rsid w:val="00221C95"/>
    <w:rsid w:val="00222FFD"/>
    <w:rsid w:val="002230EB"/>
    <w:rsid w:val="00223171"/>
    <w:rsid w:val="002239DC"/>
    <w:rsid w:val="0022461A"/>
    <w:rsid w:val="00226761"/>
    <w:rsid w:val="0022764E"/>
    <w:rsid w:val="00227879"/>
    <w:rsid w:val="00230774"/>
    <w:rsid w:val="00231B8F"/>
    <w:rsid w:val="00232F42"/>
    <w:rsid w:val="00232F5E"/>
    <w:rsid w:val="002342A8"/>
    <w:rsid w:val="00236293"/>
    <w:rsid w:val="002365B9"/>
    <w:rsid w:val="00237034"/>
    <w:rsid w:val="0023718A"/>
    <w:rsid w:val="00240C97"/>
    <w:rsid w:val="002414E4"/>
    <w:rsid w:val="00241DE1"/>
    <w:rsid w:val="00242F6F"/>
    <w:rsid w:val="0024483A"/>
    <w:rsid w:val="00245050"/>
    <w:rsid w:val="0024525F"/>
    <w:rsid w:val="00245510"/>
    <w:rsid w:val="0024663A"/>
    <w:rsid w:val="002467BB"/>
    <w:rsid w:val="00247330"/>
    <w:rsid w:val="00250BC4"/>
    <w:rsid w:val="002513AF"/>
    <w:rsid w:val="002513B0"/>
    <w:rsid w:val="002522F1"/>
    <w:rsid w:val="00252B87"/>
    <w:rsid w:val="00253270"/>
    <w:rsid w:val="00253379"/>
    <w:rsid w:val="0025361E"/>
    <w:rsid w:val="00253FBA"/>
    <w:rsid w:val="002542BF"/>
    <w:rsid w:val="0025460D"/>
    <w:rsid w:val="00254DA1"/>
    <w:rsid w:val="00257259"/>
    <w:rsid w:val="002602F5"/>
    <w:rsid w:val="002611AE"/>
    <w:rsid w:val="0026180A"/>
    <w:rsid w:val="00263207"/>
    <w:rsid w:val="00264058"/>
    <w:rsid w:val="0026540B"/>
    <w:rsid w:val="002658BF"/>
    <w:rsid w:val="0026798B"/>
    <w:rsid w:val="00270724"/>
    <w:rsid w:val="00271371"/>
    <w:rsid w:val="00272DB5"/>
    <w:rsid w:val="00273052"/>
    <w:rsid w:val="0027402D"/>
    <w:rsid w:val="0027503D"/>
    <w:rsid w:val="00275138"/>
    <w:rsid w:val="002751D4"/>
    <w:rsid w:val="002762C1"/>
    <w:rsid w:val="00276809"/>
    <w:rsid w:val="0027702B"/>
    <w:rsid w:val="00280AA8"/>
    <w:rsid w:val="00281A1E"/>
    <w:rsid w:val="00281B1D"/>
    <w:rsid w:val="00282713"/>
    <w:rsid w:val="00282A31"/>
    <w:rsid w:val="00282E68"/>
    <w:rsid w:val="00283A0B"/>
    <w:rsid w:val="00283CDA"/>
    <w:rsid w:val="00283FFD"/>
    <w:rsid w:val="0028404C"/>
    <w:rsid w:val="0028435F"/>
    <w:rsid w:val="002849F6"/>
    <w:rsid w:val="00284D88"/>
    <w:rsid w:val="002866DE"/>
    <w:rsid w:val="00287162"/>
    <w:rsid w:val="00287904"/>
    <w:rsid w:val="00287B1F"/>
    <w:rsid w:val="00287D15"/>
    <w:rsid w:val="00290280"/>
    <w:rsid w:val="00290D47"/>
    <w:rsid w:val="00291050"/>
    <w:rsid w:val="00292177"/>
    <w:rsid w:val="0029295E"/>
    <w:rsid w:val="0029326F"/>
    <w:rsid w:val="00293B54"/>
    <w:rsid w:val="00293CD7"/>
    <w:rsid w:val="002945C3"/>
    <w:rsid w:val="00294A71"/>
    <w:rsid w:val="00294DE2"/>
    <w:rsid w:val="00295B2D"/>
    <w:rsid w:val="002972A0"/>
    <w:rsid w:val="0029772D"/>
    <w:rsid w:val="002A0113"/>
    <w:rsid w:val="002A1312"/>
    <w:rsid w:val="002A1E76"/>
    <w:rsid w:val="002A29C4"/>
    <w:rsid w:val="002A3B0E"/>
    <w:rsid w:val="002A514F"/>
    <w:rsid w:val="002B069A"/>
    <w:rsid w:val="002B0B30"/>
    <w:rsid w:val="002B0B9A"/>
    <w:rsid w:val="002B1EA4"/>
    <w:rsid w:val="002B24CA"/>
    <w:rsid w:val="002B2910"/>
    <w:rsid w:val="002B3674"/>
    <w:rsid w:val="002B4D45"/>
    <w:rsid w:val="002B525B"/>
    <w:rsid w:val="002B6B78"/>
    <w:rsid w:val="002B6D25"/>
    <w:rsid w:val="002B78E0"/>
    <w:rsid w:val="002C00B3"/>
    <w:rsid w:val="002C042D"/>
    <w:rsid w:val="002C05D0"/>
    <w:rsid w:val="002C14AE"/>
    <w:rsid w:val="002C1C67"/>
    <w:rsid w:val="002C35A2"/>
    <w:rsid w:val="002C3A0F"/>
    <w:rsid w:val="002C3F0B"/>
    <w:rsid w:val="002C4421"/>
    <w:rsid w:val="002C55AC"/>
    <w:rsid w:val="002C5E1A"/>
    <w:rsid w:val="002C67FB"/>
    <w:rsid w:val="002C728F"/>
    <w:rsid w:val="002C73BD"/>
    <w:rsid w:val="002C7AB8"/>
    <w:rsid w:val="002C7D4D"/>
    <w:rsid w:val="002C7DD0"/>
    <w:rsid w:val="002C7E2F"/>
    <w:rsid w:val="002D0788"/>
    <w:rsid w:val="002D138D"/>
    <w:rsid w:val="002D3BFB"/>
    <w:rsid w:val="002D416B"/>
    <w:rsid w:val="002D4422"/>
    <w:rsid w:val="002D5E55"/>
    <w:rsid w:val="002D6402"/>
    <w:rsid w:val="002D6776"/>
    <w:rsid w:val="002E1283"/>
    <w:rsid w:val="002E3671"/>
    <w:rsid w:val="002E3995"/>
    <w:rsid w:val="002E39C9"/>
    <w:rsid w:val="002E554C"/>
    <w:rsid w:val="002E5A05"/>
    <w:rsid w:val="002E7440"/>
    <w:rsid w:val="002F0692"/>
    <w:rsid w:val="002F08C0"/>
    <w:rsid w:val="002F0C86"/>
    <w:rsid w:val="002F226A"/>
    <w:rsid w:val="002F34ED"/>
    <w:rsid w:val="002F45A8"/>
    <w:rsid w:val="002F602F"/>
    <w:rsid w:val="002F62B1"/>
    <w:rsid w:val="00300907"/>
    <w:rsid w:val="00300DCA"/>
    <w:rsid w:val="00300EE3"/>
    <w:rsid w:val="00301FDE"/>
    <w:rsid w:val="00302136"/>
    <w:rsid w:val="003039AE"/>
    <w:rsid w:val="003057F9"/>
    <w:rsid w:val="00307BA5"/>
    <w:rsid w:val="00310CEB"/>
    <w:rsid w:val="00311421"/>
    <w:rsid w:val="00311698"/>
    <w:rsid w:val="00312E63"/>
    <w:rsid w:val="00313246"/>
    <w:rsid w:val="00314FAD"/>
    <w:rsid w:val="003150D9"/>
    <w:rsid w:val="003160B9"/>
    <w:rsid w:val="003168BA"/>
    <w:rsid w:val="0031753C"/>
    <w:rsid w:val="0031772D"/>
    <w:rsid w:val="00317EC5"/>
    <w:rsid w:val="00321C09"/>
    <w:rsid w:val="00321ECE"/>
    <w:rsid w:val="003226B8"/>
    <w:rsid w:val="00322802"/>
    <w:rsid w:val="00323054"/>
    <w:rsid w:val="003231ED"/>
    <w:rsid w:val="003261ED"/>
    <w:rsid w:val="003275BB"/>
    <w:rsid w:val="003275DB"/>
    <w:rsid w:val="00327A74"/>
    <w:rsid w:val="003315BE"/>
    <w:rsid w:val="00332961"/>
    <w:rsid w:val="00332CB3"/>
    <w:rsid w:val="003353E0"/>
    <w:rsid w:val="00335F33"/>
    <w:rsid w:val="0033760A"/>
    <w:rsid w:val="0033770B"/>
    <w:rsid w:val="00341A32"/>
    <w:rsid w:val="00341BB5"/>
    <w:rsid w:val="00342914"/>
    <w:rsid w:val="00343614"/>
    <w:rsid w:val="00343E1A"/>
    <w:rsid w:val="0034617A"/>
    <w:rsid w:val="00346467"/>
    <w:rsid w:val="003473DA"/>
    <w:rsid w:val="0034742F"/>
    <w:rsid w:val="00350A5D"/>
    <w:rsid w:val="0035153B"/>
    <w:rsid w:val="003524A6"/>
    <w:rsid w:val="0035261C"/>
    <w:rsid w:val="00352693"/>
    <w:rsid w:val="00353618"/>
    <w:rsid w:val="00353EA2"/>
    <w:rsid w:val="003541DD"/>
    <w:rsid w:val="00354557"/>
    <w:rsid w:val="003548F7"/>
    <w:rsid w:val="00354E9A"/>
    <w:rsid w:val="003556D6"/>
    <w:rsid w:val="00355793"/>
    <w:rsid w:val="0035661D"/>
    <w:rsid w:val="00357A52"/>
    <w:rsid w:val="003602F4"/>
    <w:rsid w:val="003605C7"/>
    <w:rsid w:val="003611C6"/>
    <w:rsid w:val="0036135D"/>
    <w:rsid w:val="00365D0E"/>
    <w:rsid w:val="003701D4"/>
    <w:rsid w:val="003704B1"/>
    <w:rsid w:val="00370CCC"/>
    <w:rsid w:val="003728FE"/>
    <w:rsid w:val="00373BD2"/>
    <w:rsid w:val="00374D7A"/>
    <w:rsid w:val="00375B98"/>
    <w:rsid w:val="00375E91"/>
    <w:rsid w:val="003768DD"/>
    <w:rsid w:val="0037696F"/>
    <w:rsid w:val="00377DDF"/>
    <w:rsid w:val="00380087"/>
    <w:rsid w:val="00380214"/>
    <w:rsid w:val="00380643"/>
    <w:rsid w:val="00380866"/>
    <w:rsid w:val="003824BF"/>
    <w:rsid w:val="003827F0"/>
    <w:rsid w:val="00383593"/>
    <w:rsid w:val="0038414D"/>
    <w:rsid w:val="00384264"/>
    <w:rsid w:val="00384D65"/>
    <w:rsid w:val="00387034"/>
    <w:rsid w:val="00387E5D"/>
    <w:rsid w:val="0039035E"/>
    <w:rsid w:val="00391B59"/>
    <w:rsid w:val="00393EA9"/>
    <w:rsid w:val="0039468D"/>
    <w:rsid w:val="00394A81"/>
    <w:rsid w:val="003953BD"/>
    <w:rsid w:val="00395B14"/>
    <w:rsid w:val="00395D13"/>
    <w:rsid w:val="00397F34"/>
    <w:rsid w:val="003A1DA3"/>
    <w:rsid w:val="003A25DA"/>
    <w:rsid w:val="003A29C6"/>
    <w:rsid w:val="003A2A02"/>
    <w:rsid w:val="003A32F4"/>
    <w:rsid w:val="003A3500"/>
    <w:rsid w:val="003A4147"/>
    <w:rsid w:val="003A6A9B"/>
    <w:rsid w:val="003A71F8"/>
    <w:rsid w:val="003B029B"/>
    <w:rsid w:val="003B12B2"/>
    <w:rsid w:val="003B3261"/>
    <w:rsid w:val="003B3AF9"/>
    <w:rsid w:val="003B448F"/>
    <w:rsid w:val="003B46BE"/>
    <w:rsid w:val="003B715E"/>
    <w:rsid w:val="003B7BEE"/>
    <w:rsid w:val="003B7FC2"/>
    <w:rsid w:val="003C0EC9"/>
    <w:rsid w:val="003C138F"/>
    <w:rsid w:val="003C1535"/>
    <w:rsid w:val="003C1C4C"/>
    <w:rsid w:val="003C1D59"/>
    <w:rsid w:val="003C3D80"/>
    <w:rsid w:val="003C4C60"/>
    <w:rsid w:val="003C5699"/>
    <w:rsid w:val="003C569C"/>
    <w:rsid w:val="003C6050"/>
    <w:rsid w:val="003C6521"/>
    <w:rsid w:val="003C675A"/>
    <w:rsid w:val="003C6A4D"/>
    <w:rsid w:val="003C7598"/>
    <w:rsid w:val="003D04DD"/>
    <w:rsid w:val="003D0EEC"/>
    <w:rsid w:val="003D1452"/>
    <w:rsid w:val="003D2CF4"/>
    <w:rsid w:val="003D52BC"/>
    <w:rsid w:val="003D5B98"/>
    <w:rsid w:val="003D6302"/>
    <w:rsid w:val="003E0C15"/>
    <w:rsid w:val="003E1AEF"/>
    <w:rsid w:val="003E1CF4"/>
    <w:rsid w:val="003E4415"/>
    <w:rsid w:val="003E6C2B"/>
    <w:rsid w:val="003E74B1"/>
    <w:rsid w:val="003E794B"/>
    <w:rsid w:val="003F0485"/>
    <w:rsid w:val="003F0600"/>
    <w:rsid w:val="003F128A"/>
    <w:rsid w:val="003F233D"/>
    <w:rsid w:val="003F2370"/>
    <w:rsid w:val="003F4A58"/>
    <w:rsid w:val="003F59BB"/>
    <w:rsid w:val="003F5DF3"/>
    <w:rsid w:val="003F7186"/>
    <w:rsid w:val="0040029B"/>
    <w:rsid w:val="00400638"/>
    <w:rsid w:val="00401582"/>
    <w:rsid w:val="004023C2"/>
    <w:rsid w:val="00402714"/>
    <w:rsid w:val="00403556"/>
    <w:rsid w:val="00405895"/>
    <w:rsid w:val="00406551"/>
    <w:rsid w:val="00406EFB"/>
    <w:rsid w:val="00410B39"/>
    <w:rsid w:val="00412009"/>
    <w:rsid w:val="0041484F"/>
    <w:rsid w:val="00415AFC"/>
    <w:rsid w:val="0041629D"/>
    <w:rsid w:val="0042268B"/>
    <w:rsid w:val="00423D50"/>
    <w:rsid w:val="00423E3B"/>
    <w:rsid w:val="00424F66"/>
    <w:rsid w:val="004250ED"/>
    <w:rsid w:val="00425ED1"/>
    <w:rsid w:val="0042681B"/>
    <w:rsid w:val="00427896"/>
    <w:rsid w:val="0042799D"/>
    <w:rsid w:val="004321C9"/>
    <w:rsid w:val="0043276D"/>
    <w:rsid w:val="00432C8E"/>
    <w:rsid w:val="00433067"/>
    <w:rsid w:val="004330EA"/>
    <w:rsid w:val="00433374"/>
    <w:rsid w:val="00433630"/>
    <w:rsid w:val="00433DF0"/>
    <w:rsid w:val="004341E6"/>
    <w:rsid w:val="00434CE0"/>
    <w:rsid w:val="00434DC6"/>
    <w:rsid w:val="004413FF"/>
    <w:rsid w:val="00442ABF"/>
    <w:rsid w:val="00443312"/>
    <w:rsid w:val="004451FE"/>
    <w:rsid w:val="0044584C"/>
    <w:rsid w:val="00445855"/>
    <w:rsid w:val="0044641A"/>
    <w:rsid w:val="00446B29"/>
    <w:rsid w:val="0044724B"/>
    <w:rsid w:val="00447E4D"/>
    <w:rsid w:val="00453087"/>
    <w:rsid w:val="004533C6"/>
    <w:rsid w:val="00453558"/>
    <w:rsid w:val="00455A38"/>
    <w:rsid w:val="00455C72"/>
    <w:rsid w:val="00456429"/>
    <w:rsid w:val="004575CA"/>
    <w:rsid w:val="00457A4A"/>
    <w:rsid w:val="00457DA6"/>
    <w:rsid w:val="0046022C"/>
    <w:rsid w:val="00460944"/>
    <w:rsid w:val="00460D09"/>
    <w:rsid w:val="00461452"/>
    <w:rsid w:val="0046352D"/>
    <w:rsid w:val="00464463"/>
    <w:rsid w:val="0046462E"/>
    <w:rsid w:val="00465939"/>
    <w:rsid w:val="00466AF7"/>
    <w:rsid w:val="00467360"/>
    <w:rsid w:val="0047029F"/>
    <w:rsid w:val="00470DAB"/>
    <w:rsid w:val="00470E2D"/>
    <w:rsid w:val="00472345"/>
    <w:rsid w:val="0047238B"/>
    <w:rsid w:val="004729CE"/>
    <w:rsid w:val="00472E27"/>
    <w:rsid w:val="00474131"/>
    <w:rsid w:val="00474E01"/>
    <w:rsid w:val="00475D5A"/>
    <w:rsid w:val="004811BA"/>
    <w:rsid w:val="004813F4"/>
    <w:rsid w:val="004817EF"/>
    <w:rsid w:val="0048183A"/>
    <w:rsid w:val="00481FA9"/>
    <w:rsid w:val="00482082"/>
    <w:rsid w:val="0048366A"/>
    <w:rsid w:val="004851CF"/>
    <w:rsid w:val="004867B8"/>
    <w:rsid w:val="00487842"/>
    <w:rsid w:val="00487EC7"/>
    <w:rsid w:val="00490C67"/>
    <w:rsid w:val="00491483"/>
    <w:rsid w:val="004919C2"/>
    <w:rsid w:val="004924CA"/>
    <w:rsid w:val="00492FD4"/>
    <w:rsid w:val="00494456"/>
    <w:rsid w:val="00494C89"/>
    <w:rsid w:val="00495166"/>
    <w:rsid w:val="004A0FFC"/>
    <w:rsid w:val="004A1163"/>
    <w:rsid w:val="004A1C94"/>
    <w:rsid w:val="004A2493"/>
    <w:rsid w:val="004A35D3"/>
    <w:rsid w:val="004A58E3"/>
    <w:rsid w:val="004A5E5B"/>
    <w:rsid w:val="004A5F09"/>
    <w:rsid w:val="004B0D1C"/>
    <w:rsid w:val="004B1084"/>
    <w:rsid w:val="004B110A"/>
    <w:rsid w:val="004B1527"/>
    <w:rsid w:val="004B1A68"/>
    <w:rsid w:val="004B1C47"/>
    <w:rsid w:val="004B2059"/>
    <w:rsid w:val="004B291D"/>
    <w:rsid w:val="004B357F"/>
    <w:rsid w:val="004B3EF2"/>
    <w:rsid w:val="004B4AEB"/>
    <w:rsid w:val="004B576C"/>
    <w:rsid w:val="004B5834"/>
    <w:rsid w:val="004B65D4"/>
    <w:rsid w:val="004B70AE"/>
    <w:rsid w:val="004C0953"/>
    <w:rsid w:val="004C1D7E"/>
    <w:rsid w:val="004C2028"/>
    <w:rsid w:val="004C2C36"/>
    <w:rsid w:val="004C5367"/>
    <w:rsid w:val="004C5784"/>
    <w:rsid w:val="004C585C"/>
    <w:rsid w:val="004C7482"/>
    <w:rsid w:val="004C779C"/>
    <w:rsid w:val="004D100F"/>
    <w:rsid w:val="004D179A"/>
    <w:rsid w:val="004D1D96"/>
    <w:rsid w:val="004D270F"/>
    <w:rsid w:val="004D39CF"/>
    <w:rsid w:val="004D3A1B"/>
    <w:rsid w:val="004D3CB5"/>
    <w:rsid w:val="004D42B0"/>
    <w:rsid w:val="004D455D"/>
    <w:rsid w:val="004D4F6D"/>
    <w:rsid w:val="004D51C1"/>
    <w:rsid w:val="004D60F7"/>
    <w:rsid w:val="004D7635"/>
    <w:rsid w:val="004D783B"/>
    <w:rsid w:val="004E0097"/>
    <w:rsid w:val="004E02B2"/>
    <w:rsid w:val="004E1577"/>
    <w:rsid w:val="004E1993"/>
    <w:rsid w:val="004E2BA2"/>
    <w:rsid w:val="004E31D5"/>
    <w:rsid w:val="004E4500"/>
    <w:rsid w:val="004E5DF9"/>
    <w:rsid w:val="004E6612"/>
    <w:rsid w:val="004F0A3C"/>
    <w:rsid w:val="004F1347"/>
    <w:rsid w:val="004F13F1"/>
    <w:rsid w:val="004F18AA"/>
    <w:rsid w:val="004F1BAA"/>
    <w:rsid w:val="004F42D5"/>
    <w:rsid w:val="004F4C3C"/>
    <w:rsid w:val="004F4DDC"/>
    <w:rsid w:val="004F533E"/>
    <w:rsid w:val="004F567A"/>
    <w:rsid w:val="004F5741"/>
    <w:rsid w:val="004F72B9"/>
    <w:rsid w:val="00500176"/>
    <w:rsid w:val="0050045B"/>
    <w:rsid w:val="005008C0"/>
    <w:rsid w:val="00500CD4"/>
    <w:rsid w:val="00501172"/>
    <w:rsid w:val="00503A99"/>
    <w:rsid w:val="005049B1"/>
    <w:rsid w:val="00504A60"/>
    <w:rsid w:val="0050657B"/>
    <w:rsid w:val="00506BAA"/>
    <w:rsid w:val="00506BD2"/>
    <w:rsid w:val="00506F8B"/>
    <w:rsid w:val="00507C6F"/>
    <w:rsid w:val="005108C4"/>
    <w:rsid w:val="00510CDE"/>
    <w:rsid w:val="00511012"/>
    <w:rsid w:val="005124DA"/>
    <w:rsid w:val="00512D9E"/>
    <w:rsid w:val="005132F6"/>
    <w:rsid w:val="0051375A"/>
    <w:rsid w:val="00513899"/>
    <w:rsid w:val="00513B1F"/>
    <w:rsid w:val="0051450F"/>
    <w:rsid w:val="0051486A"/>
    <w:rsid w:val="005149CD"/>
    <w:rsid w:val="005156CC"/>
    <w:rsid w:val="00516455"/>
    <w:rsid w:val="00517847"/>
    <w:rsid w:val="00517E22"/>
    <w:rsid w:val="00520019"/>
    <w:rsid w:val="0052225C"/>
    <w:rsid w:val="005224EB"/>
    <w:rsid w:val="00522ACA"/>
    <w:rsid w:val="0052546E"/>
    <w:rsid w:val="0052584F"/>
    <w:rsid w:val="00525D78"/>
    <w:rsid w:val="005272DC"/>
    <w:rsid w:val="00527B6F"/>
    <w:rsid w:val="00530ABF"/>
    <w:rsid w:val="005312FD"/>
    <w:rsid w:val="0053256B"/>
    <w:rsid w:val="00532EA4"/>
    <w:rsid w:val="0053578C"/>
    <w:rsid w:val="00535CCE"/>
    <w:rsid w:val="00535CDD"/>
    <w:rsid w:val="00535F0A"/>
    <w:rsid w:val="00540B2E"/>
    <w:rsid w:val="00541AFC"/>
    <w:rsid w:val="00543714"/>
    <w:rsid w:val="00544419"/>
    <w:rsid w:val="00544934"/>
    <w:rsid w:val="0054568C"/>
    <w:rsid w:val="00545CE9"/>
    <w:rsid w:val="005465FA"/>
    <w:rsid w:val="00547292"/>
    <w:rsid w:val="00551869"/>
    <w:rsid w:val="00551FEE"/>
    <w:rsid w:val="00554380"/>
    <w:rsid w:val="00554431"/>
    <w:rsid w:val="005550CA"/>
    <w:rsid w:val="005551A2"/>
    <w:rsid w:val="00556F7D"/>
    <w:rsid w:val="0055734A"/>
    <w:rsid w:val="0055789A"/>
    <w:rsid w:val="00557A68"/>
    <w:rsid w:val="00557C8E"/>
    <w:rsid w:val="00561175"/>
    <w:rsid w:val="005618FD"/>
    <w:rsid w:val="00561AA9"/>
    <w:rsid w:val="00563888"/>
    <w:rsid w:val="005648EE"/>
    <w:rsid w:val="00565874"/>
    <w:rsid w:val="005664B7"/>
    <w:rsid w:val="00566627"/>
    <w:rsid w:val="00566641"/>
    <w:rsid w:val="005679B6"/>
    <w:rsid w:val="0057023C"/>
    <w:rsid w:val="0057150C"/>
    <w:rsid w:val="00571B78"/>
    <w:rsid w:val="00571C3C"/>
    <w:rsid w:val="00571CDD"/>
    <w:rsid w:val="00572DC7"/>
    <w:rsid w:val="00574F9E"/>
    <w:rsid w:val="005761C6"/>
    <w:rsid w:val="005763C5"/>
    <w:rsid w:val="00576672"/>
    <w:rsid w:val="0057699C"/>
    <w:rsid w:val="00580423"/>
    <w:rsid w:val="005818C7"/>
    <w:rsid w:val="00581D24"/>
    <w:rsid w:val="0058273D"/>
    <w:rsid w:val="00582E30"/>
    <w:rsid w:val="00583622"/>
    <w:rsid w:val="0058459E"/>
    <w:rsid w:val="005849AD"/>
    <w:rsid w:val="005859EC"/>
    <w:rsid w:val="00585E3C"/>
    <w:rsid w:val="00586884"/>
    <w:rsid w:val="00586B17"/>
    <w:rsid w:val="00586D4D"/>
    <w:rsid w:val="0058736E"/>
    <w:rsid w:val="00587923"/>
    <w:rsid w:val="00590975"/>
    <w:rsid w:val="00591B2A"/>
    <w:rsid w:val="0059343A"/>
    <w:rsid w:val="00593562"/>
    <w:rsid w:val="00594345"/>
    <w:rsid w:val="005950FA"/>
    <w:rsid w:val="00595624"/>
    <w:rsid w:val="0059668D"/>
    <w:rsid w:val="00596814"/>
    <w:rsid w:val="00597253"/>
    <w:rsid w:val="005972ED"/>
    <w:rsid w:val="00597B0B"/>
    <w:rsid w:val="005A011E"/>
    <w:rsid w:val="005A0536"/>
    <w:rsid w:val="005A0935"/>
    <w:rsid w:val="005A0DC6"/>
    <w:rsid w:val="005A109F"/>
    <w:rsid w:val="005A1AF1"/>
    <w:rsid w:val="005A24F5"/>
    <w:rsid w:val="005A2E27"/>
    <w:rsid w:val="005A316A"/>
    <w:rsid w:val="005A337F"/>
    <w:rsid w:val="005A3531"/>
    <w:rsid w:val="005A3DDE"/>
    <w:rsid w:val="005A4B2F"/>
    <w:rsid w:val="005A50C3"/>
    <w:rsid w:val="005A788E"/>
    <w:rsid w:val="005A7D0F"/>
    <w:rsid w:val="005B0A26"/>
    <w:rsid w:val="005B257B"/>
    <w:rsid w:val="005B3349"/>
    <w:rsid w:val="005B3865"/>
    <w:rsid w:val="005B3B76"/>
    <w:rsid w:val="005B5263"/>
    <w:rsid w:val="005B7C9B"/>
    <w:rsid w:val="005C0469"/>
    <w:rsid w:val="005C0763"/>
    <w:rsid w:val="005C1BE9"/>
    <w:rsid w:val="005C215E"/>
    <w:rsid w:val="005C37E9"/>
    <w:rsid w:val="005C3F73"/>
    <w:rsid w:val="005C4100"/>
    <w:rsid w:val="005C498A"/>
    <w:rsid w:val="005C4E6F"/>
    <w:rsid w:val="005C57D1"/>
    <w:rsid w:val="005C5BB7"/>
    <w:rsid w:val="005C6CE0"/>
    <w:rsid w:val="005D18D3"/>
    <w:rsid w:val="005D1A2C"/>
    <w:rsid w:val="005D321B"/>
    <w:rsid w:val="005D5240"/>
    <w:rsid w:val="005D5F59"/>
    <w:rsid w:val="005D62D1"/>
    <w:rsid w:val="005D6E13"/>
    <w:rsid w:val="005D7B66"/>
    <w:rsid w:val="005E3CA8"/>
    <w:rsid w:val="005E3DF3"/>
    <w:rsid w:val="005E505C"/>
    <w:rsid w:val="005E5D99"/>
    <w:rsid w:val="005E619A"/>
    <w:rsid w:val="005F0487"/>
    <w:rsid w:val="005F1738"/>
    <w:rsid w:val="005F227E"/>
    <w:rsid w:val="005F2CAC"/>
    <w:rsid w:val="005F3818"/>
    <w:rsid w:val="005F3E3D"/>
    <w:rsid w:val="005F425D"/>
    <w:rsid w:val="005F5CE8"/>
    <w:rsid w:val="005F6140"/>
    <w:rsid w:val="005F6B8C"/>
    <w:rsid w:val="005F719C"/>
    <w:rsid w:val="005F791F"/>
    <w:rsid w:val="005F7B6E"/>
    <w:rsid w:val="005F7D90"/>
    <w:rsid w:val="00600148"/>
    <w:rsid w:val="006017BC"/>
    <w:rsid w:val="00601BB6"/>
    <w:rsid w:val="00601D05"/>
    <w:rsid w:val="00602F0C"/>
    <w:rsid w:val="006034E2"/>
    <w:rsid w:val="00603723"/>
    <w:rsid w:val="0060456E"/>
    <w:rsid w:val="00604F08"/>
    <w:rsid w:val="00604F0C"/>
    <w:rsid w:val="00605383"/>
    <w:rsid w:val="006055E9"/>
    <w:rsid w:val="00605CB0"/>
    <w:rsid w:val="00606A23"/>
    <w:rsid w:val="00606F5E"/>
    <w:rsid w:val="0060761C"/>
    <w:rsid w:val="0061032A"/>
    <w:rsid w:val="00610AD9"/>
    <w:rsid w:val="00610E45"/>
    <w:rsid w:val="006131DB"/>
    <w:rsid w:val="00620600"/>
    <w:rsid w:val="006209FD"/>
    <w:rsid w:val="00621CB7"/>
    <w:rsid w:val="00622282"/>
    <w:rsid w:val="00624AB0"/>
    <w:rsid w:val="0062588E"/>
    <w:rsid w:val="00626168"/>
    <w:rsid w:val="00626B8D"/>
    <w:rsid w:val="00626F9B"/>
    <w:rsid w:val="00627BFA"/>
    <w:rsid w:val="00627F5C"/>
    <w:rsid w:val="0063151D"/>
    <w:rsid w:val="00631B7A"/>
    <w:rsid w:val="006324B7"/>
    <w:rsid w:val="00632839"/>
    <w:rsid w:val="00633322"/>
    <w:rsid w:val="0063459A"/>
    <w:rsid w:val="00636BB8"/>
    <w:rsid w:val="00636C0A"/>
    <w:rsid w:val="006414F2"/>
    <w:rsid w:val="00641FEA"/>
    <w:rsid w:val="006427BB"/>
    <w:rsid w:val="00642A07"/>
    <w:rsid w:val="00642F89"/>
    <w:rsid w:val="00643529"/>
    <w:rsid w:val="006439D7"/>
    <w:rsid w:val="00643CB4"/>
    <w:rsid w:val="00643ED3"/>
    <w:rsid w:val="00643FAA"/>
    <w:rsid w:val="00644BE4"/>
    <w:rsid w:val="00646EB8"/>
    <w:rsid w:val="00652DA7"/>
    <w:rsid w:val="00653710"/>
    <w:rsid w:val="006563E7"/>
    <w:rsid w:val="00661A47"/>
    <w:rsid w:val="006620B9"/>
    <w:rsid w:val="0066337C"/>
    <w:rsid w:val="0066422E"/>
    <w:rsid w:val="0066528B"/>
    <w:rsid w:val="00665E0E"/>
    <w:rsid w:val="00665EDF"/>
    <w:rsid w:val="00666159"/>
    <w:rsid w:val="00666950"/>
    <w:rsid w:val="00667E78"/>
    <w:rsid w:val="00670CE2"/>
    <w:rsid w:val="00670F59"/>
    <w:rsid w:val="0067124E"/>
    <w:rsid w:val="00671278"/>
    <w:rsid w:val="00673D24"/>
    <w:rsid w:val="006744A6"/>
    <w:rsid w:val="0067570F"/>
    <w:rsid w:val="006804E7"/>
    <w:rsid w:val="00680E43"/>
    <w:rsid w:val="00681108"/>
    <w:rsid w:val="006813E2"/>
    <w:rsid w:val="006817CB"/>
    <w:rsid w:val="00681ED6"/>
    <w:rsid w:val="006852EA"/>
    <w:rsid w:val="006855CF"/>
    <w:rsid w:val="00690998"/>
    <w:rsid w:val="00690C97"/>
    <w:rsid w:val="00690F42"/>
    <w:rsid w:val="00692C6A"/>
    <w:rsid w:val="0069441B"/>
    <w:rsid w:val="00696BC3"/>
    <w:rsid w:val="0069701E"/>
    <w:rsid w:val="006979B2"/>
    <w:rsid w:val="00697F28"/>
    <w:rsid w:val="006A03B6"/>
    <w:rsid w:val="006A2BBE"/>
    <w:rsid w:val="006A3449"/>
    <w:rsid w:val="006A4B6B"/>
    <w:rsid w:val="006A54BA"/>
    <w:rsid w:val="006A5BEB"/>
    <w:rsid w:val="006A66EB"/>
    <w:rsid w:val="006B0392"/>
    <w:rsid w:val="006B24D6"/>
    <w:rsid w:val="006B2726"/>
    <w:rsid w:val="006B2BA6"/>
    <w:rsid w:val="006B4271"/>
    <w:rsid w:val="006B56CB"/>
    <w:rsid w:val="006B5CD8"/>
    <w:rsid w:val="006B6109"/>
    <w:rsid w:val="006B6B99"/>
    <w:rsid w:val="006B6E04"/>
    <w:rsid w:val="006B73C0"/>
    <w:rsid w:val="006B7A8F"/>
    <w:rsid w:val="006B7AF1"/>
    <w:rsid w:val="006C130A"/>
    <w:rsid w:val="006C1574"/>
    <w:rsid w:val="006C157B"/>
    <w:rsid w:val="006C1881"/>
    <w:rsid w:val="006C2106"/>
    <w:rsid w:val="006C29FD"/>
    <w:rsid w:val="006C2B06"/>
    <w:rsid w:val="006C2C3D"/>
    <w:rsid w:val="006C4558"/>
    <w:rsid w:val="006C4871"/>
    <w:rsid w:val="006C4D68"/>
    <w:rsid w:val="006C6733"/>
    <w:rsid w:val="006C700F"/>
    <w:rsid w:val="006C74FA"/>
    <w:rsid w:val="006C7666"/>
    <w:rsid w:val="006C7A54"/>
    <w:rsid w:val="006D0881"/>
    <w:rsid w:val="006D1957"/>
    <w:rsid w:val="006D2B3E"/>
    <w:rsid w:val="006D3379"/>
    <w:rsid w:val="006D3867"/>
    <w:rsid w:val="006D3C6A"/>
    <w:rsid w:val="006D3FF2"/>
    <w:rsid w:val="006D4373"/>
    <w:rsid w:val="006D4488"/>
    <w:rsid w:val="006D56F1"/>
    <w:rsid w:val="006D6EFF"/>
    <w:rsid w:val="006D79C5"/>
    <w:rsid w:val="006E0BDC"/>
    <w:rsid w:val="006E21E3"/>
    <w:rsid w:val="006E26AC"/>
    <w:rsid w:val="006E34F9"/>
    <w:rsid w:val="006E35AE"/>
    <w:rsid w:val="006E45F8"/>
    <w:rsid w:val="006E48F0"/>
    <w:rsid w:val="006E4EE8"/>
    <w:rsid w:val="006E52E5"/>
    <w:rsid w:val="006E5F78"/>
    <w:rsid w:val="006E6CC3"/>
    <w:rsid w:val="006F01A3"/>
    <w:rsid w:val="006F0376"/>
    <w:rsid w:val="006F1EE1"/>
    <w:rsid w:val="006F2711"/>
    <w:rsid w:val="006F319D"/>
    <w:rsid w:val="006F39C8"/>
    <w:rsid w:val="006F3E48"/>
    <w:rsid w:val="006F435E"/>
    <w:rsid w:val="006F4FD7"/>
    <w:rsid w:val="006F5D02"/>
    <w:rsid w:val="006F6144"/>
    <w:rsid w:val="006F6CBA"/>
    <w:rsid w:val="00700EC3"/>
    <w:rsid w:val="00700F22"/>
    <w:rsid w:val="007015FF"/>
    <w:rsid w:val="00702B7D"/>
    <w:rsid w:val="00702E90"/>
    <w:rsid w:val="007038F8"/>
    <w:rsid w:val="00703E97"/>
    <w:rsid w:val="007041AE"/>
    <w:rsid w:val="0070653D"/>
    <w:rsid w:val="00707C38"/>
    <w:rsid w:val="007102CC"/>
    <w:rsid w:val="00711962"/>
    <w:rsid w:val="007119B5"/>
    <w:rsid w:val="007130BB"/>
    <w:rsid w:val="007130E2"/>
    <w:rsid w:val="0071418A"/>
    <w:rsid w:val="00714713"/>
    <w:rsid w:val="00717046"/>
    <w:rsid w:val="00717967"/>
    <w:rsid w:val="00717E93"/>
    <w:rsid w:val="007229F4"/>
    <w:rsid w:val="007236B8"/>
    <w:rsid w:val="0072398E"/>
    <w:rsid w:val="007247D8"/>
    <w:rsid w:val="00724A7D"/>
    <w:rsid w:val="00724D30"/>
    <w:rsid w:val="00726437"/>
    <w:rsid w:val="00726666"/>
    <w:rsid w:val="00726826"/>
    <w:rsid w:val="007273B0"/>
    <w:rsid w:val="00727891"/>
    <w:rsid w:val="0073083E"/>
    <w:rsid w:val="007322B4"/>
    <w:rsid w:val="0073230F"/>
    <w:rsid w:val="0073249E"/>
    <w:rsid w:val="00732D87"/>
    <w:rsid w:val="00732F9D"/>
    <w:rsid w:val="00733220"/>
    <w:rsid w:val="007336CE"/>
    <w:rsid w:val="0073446B"/>
    <w:rsid w:val="00734F31"/>
    <w:rsid w:val="007355F8"/>
    <w:rsid w:val="00735C85"/>
    <w:rsid w:val="00737660"/>
    <w:rsid w:val="007376E0"/>
    <w:rsid w:val="007377BD"/>
    <w:rsid w:val="00741494"/>
    <w:rsid w:val="0074184B"/>
    <w:rsid w:val="00741955"/>
    <w:rsid w:val="00741CA9"/>
    <w:rsid w:val="007437A4"/>
    <w:rsid w:val="00744A1F"/>
    <w:rsid w:val="00744D37"/>
    <w:rsid w:val="00746D82"/>
    <w:rsid w:val="00746F49"/>
    <w:rsid w:val="007474DD"/>
    <w:rsid w:val="00747B78"/>
    <w:rsid w:val="00747FB9"/>
    <w:rsid w:val="00750143"/>
    <w:rsid w:val="00751C63"/>
    <w:rsid w:val="00751F37"/>
    <w:rsid w:val="00752EF6"/>
    <w:rsid w:val="00753220"/>
    <w:rsid w:val="00754625"/>
    <w:rsid w:val="00754A11"/>
    <w:rsid w:val="00754A8F"/>
    <w:rsid w:val="00756859"/>
    <w:rsid w:val="00757F1D"/>
    <w:rsid w:val="00761358"/>
    <w:rsid w:val="00765037"/>
    <w:rsid w:val="00766337"/>
    <w:rsid w:val="00766778"/>
    <w:rsid w:val="0076680C"/>
    <w:rsid w:val="00766993"/>
    <w:rsid w:val="00767C29"/>
    <w:rsid w:val="00767D3F"/>
    <w:rsid w:val="00773A07"/>
    <w:rsid w:val="00773F7D"/>
    <w:rsid w:val="00774306"/>
    <w:rsid w:val="00776BD7"/>
    <w:rsid w:val="007771CF"/>
    <w:rsid w:val="00777557"/>
    <w:rsid w:val="007808A5"/>
    <w:rsid w:val="007818AA"/>
    <w:rsid w:val="00782B80"/>
    <w:rsid w:val="00782F89"/>
    <w:rsid w:val="00783B3C"/>
    <w:rsid w:val="00784455"/>
    <w:rsid w:val="0078490A"/>
    <w:rsid w:val="00784986"/>
    <w:rsid w:val="00784B29"/>
    <w:rsid w:val="00784D15"/>
    <w:rsid w:val="00786EF4"/>
    <w:rsid w:val="007877E7"/>
    <w:rsid w:val="00790D04"/>
    <w:rsid w:val="00791092"/>
    <w:rsid w:val="007913EE"/>
    <w:rsid w:val="00792A99"/>
    <w:rsid w:val="00792C7B"/>
    <w:rsid w:val="007940F5"/>
    <w:rsid w:val="00794970"/>
    <w:rsid w:val="00795DD2"/>
    <w:rsid w:val="0079674A"/>
    <w:rsid w:val="00796AA3"/>
    <w:rsid w:val="00796D0F"/>
    <w:rsid w:val="00797371"/>
    <w:rsid w:val="00797B75"/>
    <w:rsid w:val="007A1308"/>
    <w:rsid w:val="007A173B"/>
    <w:rsid w:val="007A1A3A"/>
    <w:rsid w:val="007A2410"/>
    <w:rsid w:val="007A2BE7"/>
    <w:rsid w:val="007A3EC3"/>
    <w:rsid w:val="007A617F"/>
    <w:rsid w:val="007A6646"/>
    <w:rsid w:val="007A78F0"/>
    <w:rsid w:val="007B0715"/>
    <w:rsid w:val="007B0878"/>
    <w:rsid w:val="007B1174"/>
    <w:rsid w:val="007B200A"/>
    <w:rsid w:val="007B305B"/>
    <w:rsid w:val="007B35F2"/>
    <w:rsid w:val="007B39B9"/>
    <w:rsid w:val="007B3E15"/>
    <w:rsid w:val="007B62FC"/>
    <w:rsid w:val="007B7FC8"/>
    <w:rsid w:val="007C0195"/>
    <w:rsid w:val="007C1F69"/>
    <w:rsid w:val="007C1F8F"/>
    <w:rsid w:val="007C23C1"/>
    <w:rsid w:val="007C241E"/>
    <w:rsid w:val="007C3346"/>
    <w:rsid w:val="007C4506"/>
    <w:rsid w:val="007C5767"/>
    <w:rsid w:val="007C72D1"/>
    <w:rsid w:val="007C7586"/>
    <w:rsid w:val="007C75BA"/>
    <w:rsid w:val="007C762D"/>
    <w:rsid w:val="007C76FF"/>
    <w:rsid w:val="007D0C74"/>
    <w:rsid w:val="007D0D58"/>
    <w:rsid w:val="007D408D"/>
    <w:rsid w:val="007D67A3"/>
    <w:rsid w:val="007D7E92"/>
    <w:rsid w:val="007E0286"/>
    <w:rsid w:val="007E08F9"/>
    <w:rsid w:val="007E1CED"/>
    <w:rsid w:val="007E316D"/>
    <w:rsid w:val="007E395A"/>
    <w:rsid w:val="007E5925"/>
    <w:rsid w:val="007E6CA0"/>
    <w:rsid w:val="007F0390"/>
    <w:rsid w:val="007F161F"/>
    <w:rsid w:val="007F167C"/>
    <w:rsid w:val="007F197C"/>
    <w:rsid w:val="007F1D57"/>
    <w:rsid w:val="007F2F18"/>
    <w:rsid w:val="007F414F"/>
    <w:rsid w:val="007F5120"/>
    <w:rsid w:val="007F5477"/>
    <w:rsid w:val="007F7E59"/>
    <w:rsid w:val="007F7F39"/>
    <w:rsid w:val="008008DF"/>
    <w:rsid w:val="00801D5A"/>
    <w:rsid w:val="008035BC"/>
    <w:rsid w:val="008037B7"/>
    <w:rsid w:val="00803C58"/>
    <w:rsid w:val="00807A27"/>
    <w:rsid w:val="00810689"/>
    <w:rsid w:val="00811834"/>
    <w:rsid w:val="00812A40"/>
    <w:rsid w:val="00813D6F"/>
    <w:rsid w:val="0081648B"/>
    <w:rsid w:val="008170C9"/>
    <w:rsid w:val="008171FE"/>
    <w:rsid w:val="0081732B"/>
    <w:rsid w:val="00817811"/>
    <w:rsid w:val="00817C9F"/>
    <w:rsid w:val="00817F66"/>
    <w:rsid w:val="00821C4F"/>
    <w:rsid w:val="0082208F"/>
    <w:rsid w:val="00822752"/>
    <w:rsid w:val="00822BBD"/>
    <w:rsid w:val="0082345F"/>
    <w:rsid w:val="00823B7E"/>
    <w:rsid w:val="008244E2"/>
    <w:rsid w:val="008246A9"/>
    <w:rsid w:val="00825580"/>
    <w:rsid w:val="00825686"/>
    <w:rsid w:val="008258E9"/>
    <w:rsid w:val="0082633F"/>
    <w:rsid w:val="00827559"/>
    <w:rsid w:val="00827994"/>
    <w:rsid w:val="00830BDF"/>
    <w:rsid w:val="00831365"/>
    <w:rsid w:val="0083148D"/>
    <w:rsid w:val="008324F3"/>
    <w:rsid w:val="0083252A"/>
    <w:rsid w:val="00833B0D"/>
    <w:rsid w:val="008345F6"/>
    <w:rsid w:val="008347D1"/>
    <w:rsid w:val="008349B3"/>
    <w:rsid w:val="008349C0"/>
    <w:rsid w:val="00834F5F"/>
    <w:rsid w:val="00835B2F"/>
    <w:rsid w:val="00836693"/>
    <w:rsid w:val="0083670C"/>
    <w:rsid w:val="008367C7"/>
    <w:rsid w:val="008370C0"/>
    <w:rsid w:val="00837E92"/>
    <w:rsid w:val="00840065"/>
    <w:rsid w:val="008401BD"/>
    <w:rsid w:val="0084068A"/>
    <w:rsid w:val="0084172F"/>
    <w:rsid w:val="00842BE4"/>
    <w:rsid w:val="00843FA2"/>
    <w:rsid w:val="00844283"/>
    <w:rsid w:val="0084582F"/>
    <w:rsid w:val="00846BD1"/>
    <w:rsid w:val="0084793F"/>
    <w:rsid w:val="00847C0A"/>
    <w:rsid w:val="00850B6F"/>
    <w:rsid w:val="00850BAC"/>
    <w:rsid w:val="008512C4"/>
    <w:rsid w:val="00851D49"/>
    <w:rsid w:val="00851F43"/>
    <w:rsid w:val="00852808"/>
    <w:rsid w:val="008528A0"/>
    <w:rsid w:val="00852BAE"/>
    <w:rsid w:val="0085343A"/>
    <w:rsid w:val="008575E1"/>
    <w:rsid w:val="00860131"/>
    <w:rsid w:val="0086019F"/>
    <w:rsid w:val="008607C8"/>
    <w:rsid w:val="00860860"/>
    <w:rsid w:val="00860EF9"/>
    <w:rsid w:val="0086201A"/>
    <w:rsid w:val="00863CDC"/>
    <w:rsid w:val="00863F9B"/>
    <w:rsid w:val="00864147"/>
    <w:rsid w:val="00864468"/>
    <w:rsid w:val="00864A10"/>
    <w:rsid w:val="00864C55"/>
    <w:rsid w:val="008655EC"/>
    <w:rsid w:val="00865ED2"/>
    <w:rsid w:val="00866547"/>
    <w:rsid w:val="00866E5E"/>
    <w:rsid w:val="00866E71"/>
    <w:rsid w:val="008704FD"/>
    <w:rsid w:val="00870643"/>
    <w:rsid w:val="008709CD"/>
    <w:rsid w:val="00871EA4"/>
    <w:rsid w:val="00872724"/>
    <w:rsid w:val="008728BA"/>
    <w:rsid w:val="0087472B"/>
    <w:rsid w:val="008762E5"/>
    <w:rsid w:val="00876E68"/>
    <w:rsid w:val="0087743A"/>
    <w:rsid w:val="00877E23"/>
    <w:rsid w:val="00877E7E"/>
    <w:rsid w:val="008817A0"/>
    <w:rsid w:val="008823FB"/>
    <w:rsid w:val="0088309D"/>
    <w:rsid w:val="0088548C"/>
    <w:rsid w:val="00886497"/>
    <w:rsid w:val="008935BD"/>
    <w:rsid w:val="008936DF"/>
    <w:rsid w:val="00893E51"/>
    <w:rsid w:val="008A09BA"/>
    <w:rsid w:val="008A0B6C"/>
    <w:rsid w:val="008A0BCB"/>
    <w:rsid w:val="008A12EB"/>
    <w:rsid w:val="008A1C40"/>
    <w:rsid w:val="008A2C68"/>
    <w:rsid w:val="008A32C8"/>
    <w:rsid w:val="008A34DF"/>
    <w:rsid w:val="008A455D"/>
    <w:rsid w:val="008A4DA1"/>
    <w:rsid w:val="008A6007"/>
    <w:rsid w:val="008A63C7"/>
    <w:rsid w:val="008A6758"/>
    <w:rsid w:val="008A7C42"/>
    <w:rsid w:val="008B0AA7"/>
    <w:rsid w:val="008B0B95"/>
    <w:rsid w:val="008B0C78"/>
    <w:rsid w:val="008B0C7E"/>
    <w:rsid w:val="008B2356"/>
    <w:rsid w:val="008B2F6D"/>
    <w:rsid w:val="008B3641"/>
    <w:rsid w:val="008B3778"/>
    <w:rsid w:val="008B4464"/>
    <w:rsid w:val="008B4C9A"/>
    <w:rsid w:val="008B5D54"/>
    <w:rsid w:val="008B61E3"/>
    <w:rsid w:val="008B63D6"/>
    <w:rsid w:val="008B6B9B"/>
    <w:rsid w:val="008B7609"/>
    <w:rsid w:val="008B7CFC"/>
    <w:rsid w:val="008C1A55"/>
    <w:rsid w:val="008C26E8"/>
    <w:rsid w:val="008C2961"/>
    <w:rsid w:val="008C2E63"/>
    <w:rsid w:val="008C2F08"/>
    <w:rsid w:val="008C3F8D"/>
    <w:rsid w:val="008C45A4"/>
    <w:rsid w:val="008C474C"/>
    <w:rsid w:val="008C4F2B"/>
    <w:rsid w:val="008C54C5"/>
    <w:rsid w:val="008C555C"/>
    <w:rsid w:val="008C56D8"/>
    <w:rsid w:val="008C61BE"/>
    <w:rsid w:val="008C719D"/>
    <w:rsid w:val="008C7305"/>
    <w:rsid w:val="008D07A5"/>
    <w:rsid w:val="008D12FF"/>
    <w:rsid w:val="008D1BE3"/>
    <w:rsid w:val="008D1CFD"/>
    <w:rsid w:val="008D2936"/>
    <w:rsid w:val="008D372A"/>
    <w:rsid w:val="008D3A8D"/>
    <w:rsid w:val="008D5B4D"/>
    <w:rsid w:val="008D5D6E"/>
    <w:rsid w:val="008D6221"/>
    <w:rsid w:val="008D6258"/>
    <w:rsid w:val="008D6ABE"/>
    <w:rsid w:val="008D7D8F"/>
    <w:rsid w:val="008E049A"/>
    <w:rsid w:val="008E0862"/>
    <w:rsid w:val="008E0F38"/>
    <w:rsid w:val="008E13A0"/>
    <w:rsid w:val="008E1D54"/>
    <w:rsid w:val="008E222F"/>
    <w:rsid w:val="008E2426"/>
    <w:rsid w:val="008E26F2"/>
    <w:rsid w:val="008E287B"/>
    <w:rsid w:val="008E3579"/>
    <w:rsid w:val="008E41BC"/>
    <w:rsid w:val="008E4B42"/>
    <w:rsid w:val="008E5771"/>
    <w:rsid w:val="008E5B73"/>
    <w:rsid w:val="008E642C"/>
    <w:rsid w:val="008E66D1"/>
    <w:rsid w:val="008E6CE9"/>
    <w:rsid w:val="008E70EA"/>
    <w:rsid w:val="008E7327"/>
    <w:rsid w:val="008F07E4"/>
    <w:rsid w:val="008F0811"/>
    <w:rsid w:val="008F1A00"/>
    <w:rsid w:val="008F2077"/>
    <w:rsid w:val="008F20D7"/>
    <w:rsid w:val="008F2DDC"/>
    <w:rsid w:val="008F4760"/>
    <w:rsid w:val="008F513B"/>
    <w:rsid w:val="008F5FF1"/>
    <w:rsid w:val="008F635E"/>
    <w:rsid w:val="00900451"/>
    <w:rsid w:val="00900A33"/>
    <w:rsid w:val="00901DCF"/>
    <w:rsid w:val="00902024"/>
    <w:rsid w:val="00903043"/>
    <w:rsid w:val="00903075"/>
    <w:rsid w:val="009032B4"/>
    <w:rsid w:val="00903AC3"/>
    <w:rsid w:val="00904AF0"/>
    <w:rsid w:val="009052E6"/>
    <w:rsid w:val="00907600"/>
    <w:rsid w:val="0091294A"/>
    <w:rsid w:val="009145FA"/>
    <w:rsid w:val="00914DED"/>
    <w:rsid w:val="009155B7"/>
    <w:rsid w:val="00917B8A"/>
    <w:rsid w:val="00920167"/>
    <w:rsid w:val="009208A2"/>
    <w:rsid w:val="009212C3"/>
    <w:rsid w:val="009220C7"/>
    <w:rsid w:val="009228DF"/>
    <w:rsid w:val="00923D5C"/>
    <w:rsid w:val="00924A7F"/>
    <w:rsid w:val="00924E8D"/>
    <w:rsid w:val="00925712"/>
    <w:rsid w:val="009267FD"/>
    <w:rsid w:val="00926ADB"/>
    <w:rsid w:val="00926EA9"/>
    <w:rsid w:val="009277E1"/>
    <w:rsid w:val="0093071F"/>
    <w:rsid w:val="00930F98"/>
    <w:rsid w:val="009310E0"/>
    <w:rsid w:val="00931AA9"/>
    <w:rsid w:val="0093238A"/>
    <w:rsid w:val="0093286B"/>
    <w:rsid w:val="00933E50"/>
    <w:rsid w:val="00934193"/>
    <w:rsid w:val="00934E1D"/>
    <w:rsid w:val="00934F6E"/>
    <w:rsid w:val="009357E2"/>
    <w:rsid w:val="00935BD1"/>
    <w:rsid w:val="00935C9E"/>
    <w:rsid w:val="0093635D"/>
    <w:rsid w:val="009365E1"/>
    <w:rsid w:val="00936A34"/>
    <w:rsid w:val="0093746D"/>
    <w:rsid w:val="00937A0B"/>
    <w:rsid w:val="0094086B"/>
    <w:rsid w:val="0094233D"/>
    <w:rsid w:val="00943B8C"/>
    <w:rsid w:val="009448A5"/>
    <w:rsid w:val="00944E94"/>
    <w:rsid w:val="00950ACA"/>
    <w:rsid w:val="0095190F"/>
    <w:rsid w:val="009554CC"/>
    <w:rsid w:val="00957F22"/>
    <w:rsid w:val="0096165F"/>
    <w:rsid w:val="00961F15"/>
    <w:rsid w:val="00962FE4"/>
    <w:rsid w:val="009631CA"/>
    <w:rsid w:val="00963BC8"/>
    <w:rsid w:val="009661DC"/>
    <w:rsid w:val="009665AC"/>
    <w:rsid w:val="00966967"/>
    <w:rsid w:val="009669AC"/>
    <w:rsid w:val="009669EC"/>
    <w:rsid w:val="0096774F"/>
    <w:rsid w:val="00970A0D"/>
    <w:rsid w:val="00970F63"/>
    <w:rsid w:val="0097262E"/>
    <w:rsid w:val="0097278F"/>
    <w:rsid w:val="00972EC3"/>
    <w:rsid w:val="00972F5E"/>
    <w:rsid w:val="009739E0"/>
    <w:rsid w:val="009746B2"/>
    <w:rsid w:val="0097536D"/>
    <w:rsid w:val="00976044"/>
    <w:rsid w:val="009811A9"/>
    <w:rsid w:val="00981A39"/>
    <w:rsid w:val="00981BED"/>
    <w:rsid w:val="00983CD2"/>
    <w:rsid w:val="00984B7B"/>
    <w:rsid w:val="00985F7B"/>
    <w:rsid w:val="00986D34"/>
    <w:rsid w:val="00986E55"/>
    <w:rsid w:val="00986F75"/>
    <w:rsid w:val="009872F3"/>
    <w:rsid w:val="00990B18"/>
    <w:rsid w:val="0099160E"/>
    <w:rsid w:val="00991E68"/>
    <w:rsid w:val="00992153"/>
    <w:rsid w:val="00993B96"/>
    <w:rsid w:val="00994652"/>
    <w:rsid w:val="0099487C"/>
    <w:rsid w:val="00994F77"/>
    <w:rsid w:val="00995542"/>
    <w:rsid w:val="009A0A38"/>
    <w:rsid w:val="009A0F33"/>
    <w:rsid w:val="009A2D67"/>
    <w:rsid w:val="009A2E4E"/>
    <w:rsid w:val="009A3188"/>
    <w:rsid w:val="009A4F0C"/>
    <w:rsid w:val="009A6A66"/>
    <w:rsid w:val="009A6B36"/>
    <w:rsid w:val="009A6BF1"/>
    <w:rsid w:val="009B0D50"/>
    <w:rsid w:val="009B2208"/>
    <w:rsid w:val="009B2298"/>
    <w:rsid w:val="009B377B"/>
    <w:rsid w:val="009B3996"/>
    <w:rsid w:val="009B3CE0"/>
    <w:rsid w:val="009B411A"/>
    <w:rsid w:val="009B4F88"/>
    <w:rsid w:val="009B6CD7"/>
    <w:rsid w:val="009B7D07"/>
    <w:rsid w:val="009B7F1B"/>
    <w:rsid w:val="009B7F1D"/>
    <w:rsid w:val="009C09A6"/>
    <w:rsid w:val="009C1BF7"/>
    <w:rsid w:val="009C2A6D"/>
    <w:rsid w:val="009C334E"/>
    <w:rsid w:val="009C3844"/>
    <w:rsid w:val="009C5FE6"/>
    <w:rsid w:val="009C622E"/>
    <w:rsid w:val="009C6632"/>
    <w:rsid w:val="009C775A"/>
    <w:rsid w:val="009D01CB"/>
    <w:rsid w:val="009D0800"/>
    <w:rsid w:val="009D09F9"/>
    <w:rsid w:val="009D1272"/>
    <w:rsid w:val="009D1570"/>
    <w:rsid w:val="009D239B"/>
    <w:rsid w:val="009D2600"/>
    <w:rsid w:val="009D2629"/>
    <w:rsid w:val="009D296A"/>
    <w:rsid w:val="009D2CE7"/>
    <w:rsid w:val="009D3729"/>
    <w:rsid w:val="009D3B3D"/>
    <w:rsid w:val="009D4156"/>
    <w:rsid w:val="009D4626"/>
    <w:rsid w:val="009D4E8A"/>
    <w:rsid w:val="009D5483"/>
    <w:rsid w:val="009D6DC6"/>
    <w:rsid w:val="009E1526"/>
    <w:rsid w:val="009E35BB"/>
    <w:rsid w:val="009E3A57"/>
    <w:rsid w:val="009E3FC9"/>
    <w:rsid w:val="009E6734"/>
    <w:rsid w:val="009E7AC9"/>
    <w:rsid w:val="009F0461"/>
    <w:rsid w:val="009F0675"/>
    <w:rsid w:val="009F14B0"/>
    <w:rsid w:val="009F1F40"/>
    <w:rsid w:val="009F2325"/>
    <w:rsid w:val="009F298C"/>
    <w:rsid w:val="009F3A30"/>
    <w:rsid w:val="009F409C"/>
    <w:rsid w:val="009F413A"/>
    <w:rsid w:val="009F503A"/>
    <w:rsid w:val="009F59C2"/>
    <w:rsid w:val="009F6E2C"/>
    <w:rsid w:val="009F7D01"/>
    <w:rsid w:val="00A00F2A"/>
    <w:rsid w:val="00A03212"/>
    <w:rsid w:val="00A0374B"/>
    <w:rsid w:val="00A03E21"/>
    <w:rsid w:val="00A046FB"/>
    <w:rsid w:val="00A04CFD"/>
    <w:rsid w:val="00A06991"/>
    <w:rsid w:val="00A07F4E"/>
    <w:rsid w:val="00A105A3"/>
    <w:rsid w:val="00A120C2"/>
    <w:rsid w:val="00A125B9"/>
    <w:rsid w:val="00A12CEA"/>
    <w:rsid w:val="00A13F02"/>
    <w:rsid w:val="00A146FF"/>
    <w:rsid w:val="00A14D72"/>
    <w:rsid w:val="00A153AF"/>
    <w:rsid w:val="00A16867"/>
    <w:rsid w:val="00A16BE8"/>
    <w:rsid w:val="00A17909"/>
    <w:rsid w:val="00A20A1E"/>
    <w:rsid w:val="00A20ABB"/>
    <w:rsid w:val="00A2173F"/>
    <w:rsid w:val="00A22A0A"/>
    <w:rsid w:val="00A244C7"/>
    <w:rsid w:val="00A248A1"/>
    <w:rsid w:val="00A24D72"/>
    <w:rsid w:val="00A25E71"/>
    <w:rsid w:val="00A25FA5"/>
    <w:rsid w:val="00A26654"/>
    <w:rsid w:val="00A268DC"/>
    <w:rsid w:val="00A26ED3"/>
    <w:rsid w:val="00A27ECD"/>
    <w:rsid w:val="00A27EDC"/>
    <w:rsid w:val="00A302FF"/>
    <w:rsid w:val="00A304D5"/>
    <w:rsid w:val="00A3105B"/>
    <w:rsid w:val="00A31C29"/>
    <w:rsid w:val="00A340CA"/>
    <w:rsid w:val="00A34F95"/>
    <w:rsid w:val="00A35DA1"/>
    <w:rsid w:val="00A3667A"/>
    <w:rsid w:val="00A36D79"/>
    <w:rsid w:val="00A37C55"/>
    <w:rsid w:val="00A37D9D"/>
    <w:rsid w:val="00A40A26"/>
    <w:rsid w:val="00A4379F"/>
    <w:rsid w:val="00A43BDC"/>
    <w:rsid w:val="00A43C09"/>
    <w:rsid w:val="00A44A5A"/>
    <w:rsid w:val="00A44C60"/>
    <w:rsid w:val="00A46C80"/>
    <w:rsid w:val="00A5096A"/>
    <w:rsid w:val="00A52295"/>
    <w:rsid w:val="00A52E4A"/>
    <w:rsid w:val="00A55D45"/>
    <w:rsid w:val="00A55FF6"/>
    <w:rsid w:val="00A567ED"/>
    <w:rsid w:val="00A56BCD"/>
    <w:rsid w:val="00A56F55"/>
    <w:rsid w:val="00A57330"/>
    <w:rsid w:val="00A57D44"/>
    <w:rsid w:val="00A57F9B"/>
    <w:rsid w:val="00A60012"/>
    <w:rsid w:val="00A602C1"/>
    <w:rsid w:val="00A60EA8"/>
    <w:rsid w:val="00A60EE2"/>
    <w:rsid w:val="00A65440"/>
    <w:rsid w:val="00A655A3"/>
    <w:rsid w:val="00A6597D"/>
    <w:rsid w:val="00A65DFE"/>
    <w:rsid w:val="00A65E35"/>
    <w:rsid w:val="00A66238"/>
    <w:rsid w:val="00A6671C"/>
    <w:rsid w:val="00A67AF1"/>
    <w:rsid w:val="00A72EA8"/>
    <w:rsid w:val="00A73156"/>
    <w:rsid w:val="00A73EB9"/>
    <w:rsid w:val="00A73F0A"/>
    <w:rsid w:val="00A750C8"/>
    <w:rsid w:val="00A77604"/>
    <w:rsid w:val="00A800A3"/>
    <w:rsid w:val="00A819D0"/>
    <w:rsid w:val="00A82EE2"/>
    <w:rsid w:val="00A84088"/>
    <w:rsid w:val="00A844C3"/>
    <w:rsid w:val="00A846A3"/>
    <w:rsid w:val="00A8495F"/>
    <w:rsid w:val="00A86719"/>
    <w:rsid w:val="00A86A7F"/>
    <w:rsid w:val="00A86D99"/>
    <w:rsid w:val="00A87B9F"/>
    <w:rsid w:val="00A90078"/>
    <w:rsid w:val="00A917AC"/>
    <w:rsid w:val="00A917E0"/>
    <w:rsid w:val="00A9383D"/>
    <w:rsid w:val="00A94737"/>
    <w:rsid w:val="00A94C01"/>
    <w:rsid w:val="00A96BC6"/>
    <w:rsid w:val="00A96D16"/>
    <w:rsid w:val="00A96E25"/>
    <w:rsid w:val="00A97162"/>
    <w:rsid w:val="00A97222"/>
    <w:rsid w:val="00AA0FBE"/>
    <w:rsid w:val="00AA2F22"/>
    <w:rsid w:val="00AA2FB0"/>
    <w:rsid w:val="00AA5BB9"/>
    <w:rsid w:val="00AA6C83"/>
    <w:rsid w:val="00AA75CF"/>
    <w:rsid w:val="00AA7D28"/>
    <w:rsid w:val="00AB0401"/>
    <w:rsid w:val="00AB08EE"/>
    <w:rsid w:val="00AB0CCF"/>
    <w:rsid w:val="00AB1A65"/>
    <w:rsid w:val="00AB30DA"/>
    <w:rsid w:val="00AB3B9A"/>
    <w:rsid w:val="00AB3E83"/>
    <w:rsid w:val="00AB4596"/>
    <w:rsid w:val="00AB5225"/>
    <w:rsid w:val="00AB5B26"/>
    <w:rsid w:val="00AB61DA"/>
    <w:rsid w:val="00AB63A8"/>
    <w:rsid w:val="00AB664D"/>
    <w:rsid w:val="00AB6A14"/>
    <w:rsid w:val="00AB6A45"/>
    <w:rsid w:val="00AB7AE3"/>
    <w:rsid w:val="00AB7DBF"/>
    <w:rsid w:val="00AC06FF"/>
    <w:rsid w:val="00AC11A2"/>
    <w:rsid w:val="00AC12BC"/>
    <w:rsid w:val="00AC2464"/>
    <w:rsid w:val="00AC31D4"/>
    <w:rsid w:val="00AC337B"/>
    <w:rsid w:val="00AC3933"/>
    <w:rsid w:val="00AC4726"/>
    <w:rsid w:val="00AC5537"/>
    <w:rsid w:val="00AC56D3"/>
    <w:rsid w:val="00AC6950"/>
    <w:rsid w:val="00AD0137"/>
    <w:rsid w:val="00AD0FC8"/>
    <w:rsid w:val="00AD1B9D"/>
    <w:rsid w:val="00AD1E1C"/>
    <w:rsid w:val="00AD35C5"/>
    <w:rsid w:val="00AD5109"/>
    <w:rsid w:val="00AD53A0"/>
    <w:rsid w:val="00AD541A"/>
    <w:rsid w:val="00AD5791"/>
    <w:rsid w:val="00AD6100"/>
    <w:rsid w:val="00AD6A84"/>
    <w:rsid w:val="00AD6B59"/>
    <w:rsid w:val="00AD6B91"/>
    <w:rsid w:val="00AD6F6D"/>
    <w:rsid w:val="00AE169B"/>
    <w:rsid w:val="00AE3A9D"/>
    <w:rsid w:val="00AE3CD1"/>
    <w:rsid w:val="00AE41D5"/>
    <w:rsid w:val="00AE4B5B"/>
    <w:rsid w:val="00AE4D73"/>
    <w:rsid w:val="00AE58A2"/>
    <w:rsid w:val="00AE715C"/>
    <w:rsid w:val="00AE7403"/>
    <w:rsid w:val="00AE7739"/>
    <w:rsid w:val="00AE787B"/>
    <w:rsid w:val="00AF10BD"/>
    <w:rsid w:val="00AF14D4"/>
    <w:rsid w:val="00AF1C92"/>
    <w:rsid w:val="00AF1E40"/>
    <w:rsid w:val="00AF24FF"/>
    <w:rsid w:val="00AF2B5D"/>
    <w:rsid w:val="00AF2F40"/>
    <w:rsid w:val="00AF3CAD"/>
    <w:rsid w:val="00AF43E2"/>
    <w:rsid w:val="00AF4D1C"/>
    <w:rsid w:val="00AF5618"/>
    <w:rsid w:val="00AF59B0"/>
    <w:rsid w:val="00AF6048"/>
    <w:rsid w:val="00AF7AB5"/>
    <w:rsid w:val="00AF7B9B"/>
    <w:rsid w:val="00B019AD"/>
    <w:rsid w:val="00B02811"/>
    <w:rsid w:val="00B02B00"/>
    <w:rsid w:val="00B0371B"/>
    <w:rsid w:val="00B04B70"/>
    <w:rsid w:val="00B06F8B"/>
    <w:rsid w:val="00B07B08"/>
    <w:rsid w:val="00B07D4B"/>
    <w:rsid w:val="00B10603"/>
    <w:rsid w:val="00B10BB6"/>
    <w:rsid w:val="00B12FD6"/>
    <w:rsid w:val="00B144C8"/>
    <w:rsid w:val="00B146CB"/>
    <w:rsid w:val="00B154D8"/>
    <w:rsid w:val="00B15880"/>
    <w:rsid w:val="00B1673D"/>
    <w:rsid w:val="00B17D84"/>
    <w:rsid w:val="00B17E4D"/>
    <w:rsid w:val="00B204B6"/>
    <w:rsid w:val="00B208B2"/>
    <w:rsid w:val="00B2169B"/>
    <w:rsid w:val="00B21727"/>
    <w:rsid w:val="00B22A10"/>
    <w:rsid w:val="00B22F30"/>
    <w:rsid w:val="00B2324C"/>
    <w:rsid w:val="00B250ED"/>
    <w:rsid w:val="00B25C26"/>
    <w:rsid w:val="00B261BA"/>
    <w:rsid w:val="00B27620"/>
    <w:rsid w:val="00B30554"/>
    <w:rsid w:val="00B3064A"/>
    <w:rsid w:val="00B309FC"/>
    <w:rsid w:val="00B32219"/>
    <w:rsid w:val="00B3473A"/>
    <w:rsid w:val="00B3511B"/>
    <w:rsid w:val="00B36061"/>
    <w:rsid w:val="00B36190"/>
    <w:rsid w:val="00B36A9C"/>
    <w:rsid w:val="00B37787"/>
    <w:rsid w:val="00B40B33"/>
    <w:rsid w:val="00B42236"/>
    <w:rsid w:val="00B4230E"/>
    <w:rsid w:val="00B434AC"/>
    <w:rsid w:val="00B44194"/>
    <w:rsid w:val="00B4506F"/>
    <w:rsid w:val="00B45A9B"/>
    <w:rsid w:val="00B45D0C"/>
    <w:rsid w:val="00B46F92"/>
    <w:rsid w:val="00B471CD"/>
    <w:rsid w:val="00B4727E"/>
    <w:rsid w:val="00B50120"/>
    <w:rsid w:val="00B51E64"/>
    <w:rsid w:val="00B5298B"/>
    <w:rsid w:val="00B53C3B"/>
    <w:rsid w:val="00B54E70"/>
    <w:rsid w:val="00B54F8D"/>
    <w:rsid w:val="00B55827"/>
    <w:rsid w:val="00B56865"/>
    <w:rsid w:val="00B56AA3"/>
    <w:rsid w:val="00B5711C"/>
    <w:rsid w:val="00B57F9F"/>
    <w:rsid w:val="00B602C9"/>
    <w:rsid w:val="00B60811"/>
    <w:rsid w:val="00B610A8"/>
    <w:rsid w:val="00B6115A"/>
    <w:rsid w:val="00B6132A"/>
    <w:rsid w:val="00B62549"/>
    <w:rsid w:val="00B625D2"/>
    <w:rsid w:val="00B62845"/>
    <w:rsid w:val="00B6284F"/>
    <w:rsid w:val="00B63617"/>
    <w:rsid w:val="00B64835"/>
    <w:rsid w:val="00B64892"/>
    <w:rsid w:val="00B64C53"/>
    <w:rsid w:val="00B6679D"/>
    <w:rsid w:val="00B66A7E"/>
    <w:rsid w:val="00B674FE"/>
    <w:rsid w:val="00B702D5"/>
    <w:rsid w:val="00B702F0"/>
    <w:rsid w:val="00B704C8"/>
    <w:rsid w:val="00B7092D"/>
    <w:rsid w:val="00B71267"/>
    <w:rsid w:val="00B71BB7"/>
    <w:rsid w:val="00B72099"/>
    <w:rsid w:val="00B7212B"/>
    <w:rsid w:val="00B723C6"/>
    <w:rsid w:val="00B733EA"/>
    <w:rsid w:val="00B73858"/>
    <w:rsid w:val="00B759E0"/>
    <w:rsid w:val="00B75A05"/>
    <w:rsid w:val="00B75D7B"/>
    <w:rsid w:val="00B800CB"/>
    <w:rsid w:val="00B8074B"/>
    <w:rsid w:val="00B80776"/>
    <w:rsid w:val="00B80D09"/>
    <w:rsid w:val="00B8101A"/>
    <w:rsid w:val="00B811B0"/>
    <w:rsid w:val="00B8169D"/>
    <w:rsid w:val="00B8171B"/>
    <w:rsid w:val="00B84319"/>
    <w:rsid w:val="00B86094"/>
    <w:rsid w:val="00B861AB"/>
    <w:rsid w:val="00B87051"/>
    <w:rsid w:val="00B90348"/>
    <w:rsid w:val="00B9059D"/>
    <w:rsid w:val="00B9261D"/>
    <w:rsid w:val="00B93617"/>
    <w:rsid w:val="00B93663"/>
    <w:rsid w:val="00B944EB"/>
    <w:rsid w:val="00B94BC9"/>
    <w:rsid w:val="00B957DF"/>
    <w:rsid w:val="00B95CB8"/>
    <w:rsid w:val="00B96013"/>
    <w:rsid w:val="00B96C7F"/>
    <w:rsid w:val="00B970EC"/>
    <w:rsid w:val="00BA1504"/>
    <w:rsid w:val="00BA19BE"/>
    <w:rsid w:val="00BA2950"/>
    <w:rsid w:val="00BA2A45"/>
    <w:rsid w:val="00BA3E98"/>
    <w:rsid w:val="00BA5325"/>
    <w:rsid w:val="00BA6306"/>
    <w:rsid w:val="00BA722D"/>
    <w:rsid w:val="00BB0B64"/>
    <w:rsid w:val="00BB1CAA"/>
    <w:rsid w:val="00BB27C2"/>
    <w:rsid w:val="00BB2A13"/>
    <w:rsid w:val="00BB2CD9"/>
    <w:rsid w:val="00BB2EA6"/>
    <w:rsid w:val="00BB332D"/>
    <w:rsid w:val="00BB3ACF"/>
    <w:rsid w:val="00BB6BD7"/>
    <w:rsid w:val="00BB7D50"/>
    <w:rsid w:val="00BC05C3"/>
    <w:rsid w:val="00BC0D30"/>
    <w:rsid w:val="00BC222E"/>
    <w:rsid w:val="00BC33D3"/>
    <w:rsid w:val="00BC417B"/>
    <w:rsid w:val="00BC516C"/>
    <w:rsid w:val="00BC5A62"/>
    <w:rsid w:val="00BC611A"/>
    <w:rsid w:val="00BC6AF9"/>
    <w:rsid w:val="00BC6E4B"/>
    <w:rsid w:val="00BC6EB4"/>
    <w:rsid w:val="00BC75CF"/>
    <w:rsid w:val="00BD0575"/>
    <w:rsid w:val="00BD0767"/>
    <w:rsid w:val="00BD12AC"/>
    <w:rsid w:val="00BD13E9"/>
    <w:rsid w:val="00BD173C"/>
    <w:rsid w:val="00BD2124"/>
    <w:rsid w:val="00BD2232"/>
    <w:rsid w:val="00BD29BB"/>
    <w:rsid w:val="00BD34D6"/>
    <w:rsid w:val="00BD35E9"/>
    <w:rsid w:val="00BD4FE5"/>
    <w:rsid w:val="00BD5B76"/>
    <w:rsid w:val="00BD6994"/>
    <w:rsid w:val="00BD75B8"/>
    <w:rsid w:val="00BD7B8A"/>
    <w:rsid w:val="00BE0A08"/>
    <w:rsid w:val="00BE0EA0"/>
    <w:rsid w:val="00BE125E"/>
    <w:rsid w:val="00BE317B"/>
    <w:rsid w:val="00BE3C6D"/>
    <w:rsid w:val="00BE40C9"/>
    <w:rsid w:val="00BE4282"/>
    <w:rsid w:val="00BE5440"/>
    <w:rsid w:val="00BE5843"/>
    <w:rsid w:val="00BE7009"/>
    <w:rsid w:val="00BF0359"/>
    <w:rsid w:val="00BF0BFF"/>
    <w:rsid w:val="00BF0C62"/>
    <w:rsid w:val="00BF0E9D"/>
    <w:rsid w:val="00BF12FE"/>
    <w:rsid w:val="00BF16F2"/>
    <w:rsid w:val="00BF1E62"/>
    <w:rsid w:val="00BF2782"/>
    <w:rsid w:val="00BF2809"/>
    <w:rsid w:val="00BF2AC8"/>
    <w:rsid w:val="00BF2F4E"/>
    <w:rsid w:val="00BF33FF"/>
    <w:rsid w:val="00BF36B4"/>
    <w:rsid w:val="00BF3AF0"/>
    <w:rsid w:val="00BF4BA2"/>
    <w:rsid w:val="00BF6083"/>
    <w:rsid w:val="00C012F3"/>
    <w:rsid w:val="00C01E8F"/>
    <w:rsid w:val="00C01EE4"/>
    <w:rsid w:val="00C023F3"/>
    <w:rsid w:val="00C0290E"/>
    <w:rsid w:val="00C03E3B"/>
    <w:rsid w:val="00C03E47"/>
    <w:rsid w:val="00C0501F"/>
    <w:rsid w:val="00C05B5A"/>
    <w:rsid w:val="00C05E03"/>
    <w:rsid w:val="00C06433"/>
    <w:rsid w:val="00C06F2F"/>
    <w:rsid w:val="00C07885"/>
    <w:rsid w:val="00C10441"/>
    <w:rsid w:val="00C11EE6"/>
    <w:rsid w:val="00C123B0"/>
    <w:rsid w:val="00C136F8"/>
    <w:rsid w:val="00C1449C"/>
    <w:rsid w:val="00C146F6"/>
    <w:rsid w:val="00C1563C"/>
    <w:rsid w:val="00C16943"/>
    <w:rsid w:val="00C17469"/>
    <w:rsid w:val="00C20799"/>
    <w:rsid w:val="00C2093E"/>
    <w:rsid w:val="00C21207"/>
    <w:rsid w:val="00C21BD1"/>
    <w:rsid w:val="00C2263B"/>
    <w:rsid w:val="00C22660"/>
    <w:rsid w:val="00C22BFE"/>
    <w:rsid w:val="00C22D0F"/>
    <w:rsid w:val="00C22FB8"/>
    <w:rsid w:val="00C24EF3"/>
    <w:rsid w:val="00C25A6A"/>
    <w:rsid w:val="00C25AF9"/>
    <w:rsid w:val="00C26CD8"/>
    <w:rsid w:val="00C26EB5"/>
    <w:rsid w:val="00C26FB4"/>
    <w:rsid w:val="00C27644"/>
    <w:rsid w:val="00C3126E"/>
    <w:rsid w:val="00C315D4"/>
    <w:rsid w:val="00C31F64"/>
    <w:rsid w:val="00C324C8"/>
    <w:rsid w:val="00C32B66"/>
    <w:rsid w:val="00C333D9"/>
    <w:rsid w:val="00C336A8"/>
    <w:rsid w:val="00C345CA"/>
    <w:rsid w:val="00C356FC"/>
    <w:rsid w:val="00C373E0"/>
    <w:rsid w:val="00C400A2"/>
    <w:rsid w:val="00C42182"/>
    <w:rsid w:val="00C43638"/>
    <w:rsid w:val="00C43AC5"/>
    <w:rsid w:val="00C44895"/>
    <w:rsid w:val="00C45220"/>
    <w:rsid w:val="00C45363"/>
    <w:rsid w:val="00C460D4"/>
    <w:rsid w:val="00C47607"/>
    <w:rsid w:val="00C50383"/>
    <w:rsid w:val="00C514A3"/>
    <w:rsid w:val="00C51A6A"/>
    <w:rsid w:val="00C51E13"/>
    <w:rsid w:val="00C522BD"/>
    <w:rsid w:val="00C5272B"/>
    <w:rsid w:val="00C52A4D"/>
    <w:rsid w:val="00C550F4"/>
    <w:rsid w:val="00C55AD6"/>
    <w:rsid w:val="00C55AEC"/>
    <w:rsid w:val="00C5725A"/>
    <w:rsid w:val="00C5737F"/>
    <w:rsid w:val="00C575C6"/>
    <w:rsid w:val="00C617E3"/>
    <w:rsid w:val="00C61884"/>
    <w:rsid w:val="00C61E95"/>
    <w:rsid w:val="00C622F7"/>
    <w:rsid w:val="00C624E6"/>
    <w:rsid w:val="00C63567"/>
    <w:rsid w:val="00C635EE"/>
    <w:rsid w:val="00C63813"/>
    <w:rsid w:val="00C63AAD"/>
    <w:rsid w:val="00C63F2A"/>
    <w:rsid w:val="00C6429F"/>
    <w:rsid w:val="00C64BFE"/>
    <w:rsid w:val="00C64F11"/>
    <w:rsid w:val="00C668CB"/>
    <w:rsid w:val="00C668DE"/>
    <w:rsid w:val="00C66A72"/>
    <w:rsid w:val="00C71556"/>
    <w:rsid w:val="00C717F9"/>
    <w:rsid w:val="00C71CCE"/>
    <w:rsid w:val="00C72FB8"/>
    <w:rsid w:val="00C740DD"/>
    <w:rsid w:val="00C74209"/>
    <w:rsid w:val="00C7654B"/>
    <w:rsid w:val="00C77065"/>
    <w:rsid w:val="00C77241"/>
    <w:rsid w:val="00C77A8B"/>
    <w:rsid w:val="00C77B3C"/>
    <w:rsid w:val="00C802A1"/>
    <w:rsid w:val="00C811DF"/>
    <w:rsid w:val="00C82D24"/>
    <w:rsid w:val="00C830DF"/>
    <w:rsid w:val="00C835A0"/>
    <w:rsid w:val="00C8437D"/>
    <w:rsid w:val="00C8600C"/>
    <w:rsid w:val="00C86418"/>
    <w:rsid w:val="00C87105"/>
    <w:rsid w:val="00C907C0"/>
    <w:rsid w:val="00C91EB8"/>
    <w:rsid w:val="00C92495"/>
    <w:rsid w:val="00C93837"/>
    <w:rsid w:val="00C93F14"/>
    <w:rsid w:val="00C95E94"/>
    <w:rsid w:val="00C96F7C"/>
    <w:rsid w:val="00CA01CE"/>
    <w:rsid w:val="00CA10D2"/>
    <w:rsid w:val="00CA1D85"/>
    <w:rsid w:val="00CA36DC"/>
    <w:rsid w:val="00CA398B"/>
    <w:rsid w:val="00CA47FE"/>
    <w:rsid w:val="00CA5D83"/>
    <w:rsid w:val="00CA6053"/>
    <w:rsid w:val="00CA6243"/>
    <w:rsid w:val="00CA64BE"/>
    <w:rsid w:val="00CB0B90"/>
    <w:rsid w:val="00CB1EC7"/>
    <w:rsid w:val="00CB40C6"/>
    <w:rsid w:val="00CB528A"/>
    <w:rsid w:val="00CB655C"/>
    <w:rsid w:val="00CB7FB6"/>
    <w:rsid w:val="00CC0EE6"/>
    <w:rsid w:val="00CC2A40"/>
    <w:rsid w:val="00CC46DF"/>
    <w:rsid w:val="00CC483B"/>
    <w:rsid w:val="00CC4908"/>
    <w:rsid w:val="00CC4CB1"/>
    <w:rsid w:val="00CC4EE2"/>
    <w:rsid w:val="00CD1340"/>
    <w:rsid w:val="00CD14AF"/>
    <w:rsid w:val="00CD1D49"/>
    <w:rsid w:val="00CD36BC"/>
    <w:rsid w:val="00CD3CB4"/>
    <w:rsid w:val="00CD6E8D"/>
    <w:rsid w:val="00CD724F"/>
    <w:rsid w:val="00CD74F1"/>
    <w:rsid w:val="00CE188C"/>
    <w:rsid w:val="00CE1936"/>
    <w:rsid w:val="00CE1C15"/>
    <w:rsid w:val="00CE5AC6"/>
    <w:rsid w:val="00CE5F04"/>
    <w:rsid w:val="00CE67D0"/>
    <w:rsid w:val="00CE6847"/>
    <w:rsid w:val="00CE75B0"/>
    <w:rsid w:val="00CE78FF"/>
    <w:rsid w:val="00CE79A3"/>
    <w:rsid w:val="00CF0658"/>
    <w:rsid w:val="00CF0CA0"/>
    <w:rsid w:val="00CF1116"/>
    <w:rsid w:val="00CF11CD"/>
    <w:rsid w:val="00CF148C"/>
    <w:rsid w:val="00CF34E2"/>
    <w:rsid w:val="00CF3DE4"/>
    <w:rsid w:val="00CF40A2"/>
    <w:rsid w:val="00CF79A2"/>
    <w:rsid w:val="00CF7DF7"/>
    <w:rsid w:val="00D00776"/>
    <w:rsid w:val="00D00D53"/>
    <w:rsid w:val="00D02170"/>
    <w:rsid w:val="00D03058"/>
    <w:rsid w:val="00D03B9B"/>
    <w:rsid w:val="00D0749B"/>
    <w:rsid w:val="00D074CD"/>
    <w:rsid w:val="00D0775C"/>
    <w:rsid w:val="00D07904"/>
    <w:rsid w:val="00D07AC3"/>
    <w:rsid w:val="00D1049B"/>
    <w:rsid w:val="00D10ECD"/>
    <w:rsid w:val="00D1110A"/>
    <w:rsid w:val="00D11D8B"/>
    <w:rsid w:val="00D13D04"/>
    <w:rsid w:val="00D144FA"/>
    <w:rsid w:val="00D1574C"/>
    <w:rsid w:val="00D15773"/>
    <w:rsid w:val="00D158BF"/>
    <w:rsid w:val="00D15963"/>
    <w:rsid w:val="00D15A1A"/>
    <w:rsid w:val="00D16C9E"/>
    <w:rsid w:val="00D17024"/>
    <w:rsid w:val="00D17822"/>
    <w:rsid w:val="00D17D9A"/>
    <w:rsid w:val="00D21043"/>
    <w:rsid w:val="00D210EF"/>
    <w:rsid w:val="00D220E3"/>
    <w:rsid w:val="00D23C0F"/>
    <w:rsid w:val="00D24D54"/>
    <w:rsid w:val="00D25489"/>
    <w:rsid w:val="00D265EF"/>
    <w:rsid w:val="00D26C57"/>
    <w:rsid w:val="00D2761D"/>
    <w:rsid w:val="00D27F57"/>
    <w:rsid w:val="00D30521"/>
    <w:rsid w:val="00D3100C"/>
    <w:rsid w:val="00D31BD1"/>
    <w:rsid w:val="00D325B4"/>
    <w:rsid w:val="00D332B8"/>
    <w:rsid w:val="00D335C9"/>
    <w:rsid w:val="00D33969"/>
    <w:rsid w:val="00D34982"/>
    <w:rsid w:val="00D34EB7"/>
    <w:rsid w:val="00D35558"/>
    <w:rsid w:val="00D36407"/>
    <w:rsid w:val="00D377CB"/>
    <w:rsid w:val="00D37C5D"/>
    <w:rsid w:val="00D40233"/>
    <w:rsid w:val="00D41517"/>
    <w:rsid w:val="00D42035"/>
    <w:rsid w:val="00D42E00"/>
    <w:rsid w:val="00D44E65"/>
    <w:rsid w:val="00D45E3C"/>
    <w:rsid w:val="00D45F4F"/>
    <w:rsid w:val="00D463F1"/>
    <w:rsid w:val="00D503F2"/>
    <w:rsid w:val="00D5186E"/>
    <w:rsid w:val="00D51914"/>
    <w:rsid w:val="00D51A9A"/>
    <w:rsid w:val="00D524BB"/>
    <w:rsid w:val="00D5316C"/>
    <w:rsid w:val="00D531F1"/>
    <w:rsid w:val="00D561C8"/>
    <w:rsid w:val="00D579C8"/>
    <w:rsid w:val="00D57CCE"/>
    <w:rsid w:val="00D57DE8"/>
    <w:rsid w:val="00D60046"/>
    <w:rsid w:val="00D61721"/>
    <w:rsid w:val="00D62331"/>
    <w:rsid w:val="00D6265B"/>
    <w:rsid w:val="00D63395"/>
    <w:rsid w:val="00D63F2A"/>
    <w:rsid w:val="00D646EF"/>
    <w:rsid w:val="00D65406"/>
    <w:rsid w:val="00D65D62"/>
    <w:rsid w:val="00D65E8E"/>
    <w:rsid w:val="00D65EBD"/>
    <w:rsid w:val="00D6613D"/>
    <w:rsid w:val="00D66D15"/>
    <w:rsid w:val="00D6703D"/>
    <w:rsid w:val="00D717DA"/>
    <w:rsid w:val="00D72320"/>
    <w:rsid w:val="00D72349"/>
    <w:rsid w:val="00D7264C"/>
    <w:rsid w:val="00D73A24"/>
    <w:rsid w:val="00D74298"/>
    <w:rsid w:val="00D751A7"/>
    <w:rsid w:val="00D75BFB"/>
    <w:rsid w:val="00D76414"/>
    <w:rsid w:val="00D764CE"/>
    <w:rsid w:val="00D7659E"/>
    <w:rsid w:val="00D815CF"/>
    <w:rsid w:val="00D833EE"/>
    <w:rsid w:val="00D83744"/>
    <w:rsid w:val="00D838A1"/>
    <w:rsid w:val="00D841DE"/>
    <w:rsid w:val="00D84BA5"/>
    <w:rsid w:val="00D8607F"/>
    <w:rsid w:val="00D861CC"/>
    <w:rsid w:val="00D86EEF"/>
    <w:rsid w:val="00D87C46"/>
    <w:rsid w:val="00D87DC6"/>
    <w:rsid w:val="00D90130"/>
    <w:rsid w:val="00D92268"/>
    <w:rsid w:val="00D946B0"/>
    <w:rsid w:val="00D94793"/>
    <w:rsid w:val="00D948F0"/>
    <w:rsid w:val="00D9509F"/>
    <w:rsid w:val="00D958A2"/>
    <w:rsid w:val="00DA0E6E"/>
    <w:rsid w:val="00DA131E"/>
    <w:rsid w:val="00DA2566"/>
    <w:rsid w:val="00DA2679"/>
    <w:rsid w:val="00DA270C"/>
    <w:rsid w:val="00DA2731"/>
    <w:rsid w:val="00DA3039"/>
    <w:rsid w:val="00DA3C66"/>
    <w:rsid w:val="00DA3FC1"/>
    <w:rsid w:val="00DA446A"/>
    <w:rsid w:val="00DA5E2B"/>
    <w:rsid w:val="00DA6913"/>
    <w:rsid w:val="00DA6B88"/>
    <w:rsid w:val="00DA73B6"/>
    <w:rsid w:val="00DB03D4"/>
    <w:rsid w:val="00DB127D"/>
    <w:rsid w:val="00DB1DFC"/>
    <w:rsid w:val="00DB2208"/>
    <w:rsid w:val="00DB23A3"/>
    <w:rsid w:val="00DB27C2"/>
    <w:rsid w:val="00DB4403"/>
    <w:rsid w:val="00DB5B80"/>
    <w:rsid w:val="00DC6C47"/>
    <w:rsid w:val="00DC76C7"/>
    <w:rsid w:val="00DC7816"/>
    <w:rsid w:val="00DC79D0"/>
    <w:rsid w:val="00DC7B3F"/>
    <w:rsid w:val="00DD0078"/>
    <w:rsid w:val="00DD2941"/>
    <w:rsid w:val="00DD3F09"/>
    <w:rsid w:val="00DD62AD"/>
    <w:rsid w:val="00DD7153"/>
    <w:rsid w:val="00DD7C6B"/>
    <w:rsid w:val="00DE1142"/>
    <w:rsid w:val="00DE1E4F"/>
    <w:rsid w:val="00DE241C"/>
    <w:rsid w:val="00DE3176"/>
    <w:rsid w:val="00DE4364"/>
    <w:rsid w:val="00DE478F"/>
    <w:rsid w:val="00DE4E1D"/>
    <w:rsid w:val="00DE5D5F"/>
    <w:rsid w:val="00DE724E"/>
    <w:rsid w:val="00DE7BF9"/>
    <w:rsid w:val="00DF1FE5"/>
    <w:rsid w:val="00DF45B2"/>
    <w:rsid w:val="00DF47A4"/>
    <w:rsid w:val="00DF4854"/>
    <w:rsid w:val="00DF4F58"/>
    <w:rsid w:val="00DF6839"/>
    <w:rsid w:val="00DF7502"/>
    <w:rsid w:val="00DF7F2A"/>
    <w:rsid w:val="00E01359"/>
    <w:rsid w:val="00E0243D"/>
    <w:rsid w:val="00E03277"/>
    <w:rsid w:val="00E04103"/>
    <w:rsid w:val="00E0412C"/>
    <w:rsid w:val="00E05E2E"/>
    <w:rsid w:val="00E0702B"/>
    <w:rsid w:val="00E07993"/>
    <w:rsid w:val="00E07F91"/>
    <w:rsid w:val="00E102AD"/>
    <w:rsid w:val="00E10319"/>
    <w:rsid w:val="00E10C3C"/>
    <w:rsid w:val="00E11D42"/>
    <w:rsid w:val="00E11F2F"/>
    <w:rsid w:val="00E11FED"/>
    <w:rsid w:val="00E127C5"/>
    <w:rsid w:val="00E12BFC"/>
    <w:rsid w:val="00E13078"/>
    <w:rsid w:val="00E13A3A"/>
    <w:rsid w:val="00E1422C"/>
    <w:rsid w:val="00E1442D"/>
    <w:rsid w:val="00E1477D"/>
    <w:rsid w:val="00E1488D"/>
    <w:rsid w:val="00E14CD2"/>
    <w:rsid w:val="00E15546"/>
    <w:rsid w:val="00E15A89"/>
    <w:rsid w:val="00E161E8"/>
    <w:rsid w:val="00E16829"/>
    <w:rsid w:val="00E17D2E"/>
    <w:rsid w:val="00E20572"/>
    <w:rsid w:val="00E21D6C"/>
    <w:rsid w:val="00E22A19"/>
    <w:rsid w:val="00E24CD3"/>
    <w:rsid w:val="00E24CDB"/>
    <w:rsid w:val="00E24E49"/>
    <w:rsid w:val="00E25797"/>
    <w:rsid w:val="00E25D5A"/>
    <w:rsid w:val="00E2620F"/>
    <w:rsid w:val="00E301AE"/>
    <w:rsid w:val="00E31152"/>
    <w:rsid w:val="00E31578"/>
    <w:rsid w:val="00E315BC"/>
    <w:rsid w:val="00E32062"/>
    <w:rsid w:val="00E32093"/>
    <w:rsid w:val="00E320B7"/>
    <w:rsid w:val="00E33610"/>
    <w:rsid w:val="00E33BD4"/>
    <w:rsid w:val="00E35139"/>
    <w:rsid w:val="00E3589A"/>
    <w:rsid w:val="00E37136"/>
    <w:rsid w:val="00E4050C"/>
    <w:rsid w:val="00E40F0F"/>
    <w:rsid w:val="00E415EC"/>
    <w:rsid w:val="00E41D1F"/>
    <w:rsid w:val="00E41F0C"/>
    <w:rsid w:val="00E421ED"/>
    <w:rsid w:val="00E4268E"/>
    <w:rsid w:val="00E42A03"/>
    <w:rsid w:val="00E42B5D"/>
    <w:rsid w:val="00E43448"/>
    <w:rsid w:val="00E43740"/>
    <w:rsid w:val="00E441E6"/>
    <w:rsid w:val="00E44555"/>
    <w:rsid w:val="00E4526A"/>
    <w:rsid w:val="00E45387"/>
    <w:rsid w:val="00E4553F"/>
    <w:rsid w:val="00E4613E"/>
    <w:rsid w:val="00E46FB2"/>
    <w:rsid w:val="00E47912"/>
    <w:rsid w:val="00E50608"/>
    <w:rsid w:val="00E50B3D"/>
    <w:rsid w:val="00E5165B"/>
    <w:rsid w:val="00E51DB4"/>
    <w:rsid w:val="00E526A6"/>
    <w:rsid w:val="00E52ABA"/>
    <w:rsid w:val="00E5314F"/>
    <w:rsid w:val="00E5481A"/>
    <w:rsid w:val="00E55477"/>
    <w:rsid w:val="00E56E6A"/>
    <w:rsid w:val="00E56FE3"/>
    <w:rsid w:val="00E57F87"/>
    <w:rsid w:val="00E60563"/>
    <w:rsid w:val="00E60E2F"/>
    <w:rsid w:val="00E62390"/>
    <w:rsid w:val="00E6353F"/>
    <w:rsid w:val="00E64118"/>
    <w:rsid w:val="00E653E3"/>
    <w:rsid w:val="00E65991"/>
    <w:rsid w:val="00E65B04"/>
    <w:rsid w:val="00E666C4"/>
    <w:rsid w:val="00E668B7"/>
    <w:rsid w:val="00E66AEE"/>
    <w:rsid w:val="00E66C80"/>
    <w:rsid w:val="00E6765B"/>
    <w:rsid w:val="00E70478"/>
    <w:rsid w:val="00E70685"/>
    <w:rsid w:val="00E70BFE"/>
    <w:rsid w:val="00E70FF5"/>
    <w:rsid w:val="00E72999"/>
    <w:rsid w:val="00E72D81"/>
    <w:rsid w:val="00E7312D"/>
    <w:rsid w:val="00E736A7"/>
    <w:rsid w:val="00E73953"/>
    <w:rsid w:val="00E7413D"/>
    <w:rsid w:val="00E74410"/>
    <w:rsid w:val="00E7487F"/>
    <w:rsid w:val="00E74881"/>
    <w:rsid w:val="00E757E7"/>
    <w:rsid w:val="00E76015"/>
    <w:rsid w:val="00E7667B"/>
    <w:rsid w:val="00E80E5C"/>
    <w:rsid w:val="00E84A2D"/>
    <w:rsid w:val="00E85AE8"/>
    <w:rsid w:val="00E86B4A"/>
    <w:rsid w:val="00E870E3"/>
    <w:rsid w:val="00E87C26"/>
    <w:rsid w:val="00E90F10"/>
    <w:rsid w:val="00E9249E"/>
    <w:rsid w:val="00E92BB0"/>
    <w:rsid w:val="00E931B3"/>
    <w:rsid w:val="00E94E20"/>
    <w:rsid w:val="00E94F24"/>
    <w:rsid w:val="00E9535B"/>
    <w:rsid w:val="00E972E9"/>
    <w:rsid w:val="00E97DF7"/>
    <w:rsid w:val="00EA0DCE"/>
    <w:rsid w:val="00EA2361"/>
    <w:rsid w:val="00EA25F2"/>
    <w:rsid w:val="00EA2E9A"/>
    <w:rsid w:val="00EA2F3B"/>
    <w:rsid w:val="00EA3468"/>
    <w:rsid w:val="00EA3C71"/>
    <w:rsid w:val="00EA4616"/>
    <w:rsid w:val="00EA5CBD"/>
    <w:rsid w:val="00EA5EA8"/>
    <w:rsid w:val="00EA6C27"/>
    <w:rsid w:val="00EB0D3F"/>
    <w:rsid w:val="00EB11D4"/>
    <w:rsid w:val="00EB24FB"/>
    <w:rsid w:val="00EB2886"/>
    <w:rsid w:val="00EB398E"/>
    <w:rsid w:val="00EB39F2"/>
    <w:rsid w:val="00EB5585"/>
    <w:rsid w:val="00EB55A1"/>
    <w:rsid w:val="00EB5B42"/>
    <w:rsid w:val="00EB61BF"/>
    <w:rsid w:val="00EB6441"/>
    <w:rsid w:val="00EB6F20"/>
    <w:rsid w:val="00EC0D9F"/>
    <w:rsid w:val="00EC0F82"/>
    <w:rsid w:val="00EC21C3"/>
    <w:rsid w:val="00EC222B"/>
    <w:rsid w:val="00EC226F"/>
    <w:rsid w:val="00EC3AC1"/>
    <w:rsid w:val="00EC4096"/>
    <w:rsid w:val="00EC429C"/>
    <w:rsid w:val="00EC4429"/>
    <w:rsid w:val="00EC4807"/>
    <w:rsid w:val="00EC5E60"/>
    <w:rsid w:val="00EC6606"/>
    <w:rsid w:val="00EC6A51"/>
    <w:rsid w:val="00EC6F68"/>
    <w:rsid w:val="00ED0199"/>
    <w:rsid w:val="00ED05AC"/>
    <w:rsid w:val="00ED0901"/>
    <w:rsid w:val="00ED10E2"/>
    <w:rsid w:val="00ED16AA"/>
    <w:rsid w:val="00ED25AA"/>
    <w:rsid w:val="00ED2CA3"/>
    <w:rsid w:val="00ED3709"/>
    <w:rsid w:val="00ED3868"/>
    <w:rsid w:val="00ED3E3D"/>
    <w:rsid w:val="00ED5436"/>
    <w:rsid w:val="00ED7351"/>
    <w:rsid w:val="00ED7B91"/>
    <w:rsid w:val="00EE08A6"/>
    <w:rsid w:val="00EE2BEE"/>
    <w:rsid w:val="00EE4050"/>
    <w:rsid w:val="00EE4149"/>
    <w:rsid w:val="00EE5B4E"/>
    <w:rsid w:val="00EE74F4"/>
    <w:rsid w:val="00EE7B48"/>
    <w:rsid w:val="00EF0367"/>
    <w:rsid w:val="00EF0858"/>
    <w:rsid w:val="00EF13D8"/>
    <w:rsid w:val="00EF1A60"/>
    <w:rsid w:val="00EF20EE"/>
    <w:rsid w:val="00EF44D1"/>
    <w:rsid w:val="00EF58AC"/>
    <w:rsid w:val="00EF5CFD"/>
    <w:rsid w:val="00EF6238"/>
    <w:rsid w:val="00EF715A"/>
    <w:rsid w:val="00EF7235"/>
    <w:rsid w:val="00EF76E7"/>
    <w:rsid w:val="00F00BA1"/>
    <w:rsid w:val="00F02997"/>
    <w:rsid w:val="00F02EEA"/>
    <w:rsid w:val="00F03D59"/>
    <w:rsid w:val="00F04775"/>
    <w:rsid w:val="00F04867"/>
    <w:rsid w:val="00F04A1A"/>
    <w:rsid w:val="00F04E3E"/>
    <w:rsid w:val="00F06A29"/>
    <w:rsid w:val="00F07DA3"/>
    <w:rsid w:val="00F10771"/>
    <w:rsid w:val="00F1126C"/>
    <w:rsid w:val="00F15F64"/>
    <w:rsid w:val="00F1659B"/>
    <w:rsid w:val="00F16B9C"/>
    <w:rsid w:val="00F17319"/>
    <w:rsid w:val="00F17407"/>
    <w:rsid w:val="00F1759B"/>
    <w:rsid w:val="00F205E5"/>
    <w:rsid w:val="00F20D10"/>
    <w:rsid w:val="00F23A74"/>
    <w:rsid w:val="00F23BE7"/>
    <w:rsid w:val="00F25593"/>
    <w:rsid w:val="00F25D0D"/>
    <w:rsid w:val="00F26E48"/>
    <w:rsid w:val="00F26F20"/>
    <w:rsid w:val="00F274E9"/>
    <w:rsid w:val="00F31DFA"/>
    <w:rsid w:val="00F332A9"/>
    <w:rsid w:val="00F33903"/>
    <w:rsid w:val="00F342CB"/>
    <w:rsid w:val="00F34C56"/>
    <w:rsid w:val="00F34DF8"/>
    <w:rsid w:val="00F351A5"/>
    <w:rsid w:val="00F36742"/>
    <w:rsid w:val="00F406A9"/>
    <w:rsid w:val="00F40725"/>
    <w:rsid w:val="00F433A6"/>
    <w:rsid w:val="00F4396D"/>
    <w:rsid w:val="00F44044"/>
    <w:rsid w:val="00F4420E"/>
    <w:rsid w:val="00F44CA8"/>
    <w:rsid w:val="00F4513C"/>
    <w:rsid w:val="00F451F5"/>
    <w:rsid w:val="00F45B1E"/>
    <w:rsid w:val="00F45EBB"/>
    <w:rsid w:val="00F468F0"/>
    <w:rsid w:val="00F5040D"/>
    <w:rsid w:val="00F512A3"/>
    <w:rsid w:val="00F51AB4"/>
    <w:rsid w:val="00F51C68"/>
    <w:rsid w:val="00F523A8"/>
    <w:rsid w:val="00F5259C"/>
    <w:rsid w:val="00F525EA"/>
    <w:rsid w:val="00F52B50"/>
    <w:rsid w:val="00F53647"/>
    <w:rsid w:val="00F5418C"/>
    <w:rsid w:val="00F54723"/>
    <w:rsid w:val="00F55F34"/>
    <w:rsid w:val="00F56023"/>
    <w:rsid w:val="00F57359"/>
    <w:rsid w:val="00F57483"/>
    <w:rsid w:val="00F57802"/>
    <w:rsid w:val="00F57881"/>
    <w:rsid w:val="00F57AF5"/>
    <w:rsid w:val="00F60A7B"/>
    <w:rsid w:val="00F60A86"/>
    <w:rsid w:val="00F62B87"/>
    <w:rsid w:val="00F62E88"/>
    <w:rsid w:val="00F63313"/>
    <w:rsid w:val="00F638CB"/>
    <w:rsid w:val="00F63AB6"/>
    <w:rsid w:val="00F63B33"/>
    <w:rsid w:val="00F63FCB"/>
    <w:rsid w:val="00F65004"/>
    <w:rsid w:val="00F6504D"/>
    <w:rsid w:val="00F65208"/>
    <w:rsid w:val="00F6598F"/>
    <w:rsid w:val="00F659DF"/>
    <w:rsid w:val="00F65D65"/>
    <w:rsid w:val="00F67846"/>
    <w:rsid w:val="00F67BE6"/>
    <w:rsid w:val="00F702A8"/>
    <w:rsid w:val="00F702E1"/>
    <w:rsid w:val="00F71E49"/>
    <w:rsid w:val="00F72740"/>
    <w:rsid w:val="00F73201"/>
    <w:rsid w:val="00F769CD"/>
    <w:rsid w:val="00F76FB3"/>
    <w:rsid w:val="00F8020A"/>
    <w:rsid w:val="00F811FC"/>
    <w:rsid w:val="00F83726"/>
    <w:rsid w:val="00F838B1"/>
    <w:rsid w:val="00F84121"/>
    <w:rsid w:val="00F84433"/>
    <w:rsid w:val="00F8481F"/>
    <w:rsid w:val="00F84A7A"/>
    <w:rsid w:val="00F84D1B"/>
    <w:rsid w:val="00F854FD"/>
    <w:rsid w:val="00F8567E"/>
    <w:rsid w:val="00F85DC2"/>
    <w:rsid w:val="00F86B33"/>
    <w:rsid w:val="00F90ECE"/>
    <w:rsid w:val="00F91A20"/>
    <w:rsid w:val="00F91C17"/>
    <w:rsid w:val="00F92164"/>
    <w:rsid w:val="00F924E3"/>
    <w:rsid w:val="00F93CA0"/>
    <w:rsid w:val="00F949B1"/>
    <w:rsid w:val="00F958EE"/>
    <w:rsid w:val="00F964BB"/>
    <w:rsid w:val="00F96EEB"/>
    <w:rsid w:val="00F96F8A"/>
    <w:rsid w:val="00F9761F"/>
    <w:rsid w:val="00FA06B9"/>
    <w:rsid w:val="00FA102C"/>
    <w:rsid w:val="00FA124F"/>
    <w:rsid w:val="00FA12B8"/>
    <w:rsid w:val="00FA182A"/>
    <w:rsid w:val="00FA310E"/>
    <w:rsid w:val="00FA3200"/>
    <w:rsid w:val="00FA56CB"/>
    <w:rsid w:val="00FA6AF3"/>
    <w:rsid w:val="00FB3124"/>
    <w:rsid w:val="00FB32EE"/>
    <w:rsid w:val="00FB6FEE"/>
    <w:rsid w:val="00FB773B"/>
    <w:rsid w:val="00FC10F8"/>
    <w:rsid w:val="00FC116C"/>
    <w:rsid w:val="00FC1B73"/>
    <w:rsid w:val="00FC37B3"/>
    <w:rsid w:val="00FC3C0E"/>
    <w:rsid w:val="00FC3C74"/>
    <w:rsid w:val="00FC4014"/>
    <w:rsid w:val="00FC544A"/>
    <w:rsid w:val="00FC5616"/>
    <w:rsid w:val="00FC5906"/>
    <w:rsid w:val="00FC5A64"/>
    <w:rsid w:val="00FC62B0"/>
    <w:rsid w:val="00FC692C"/>
    <w:rsid w:val="00FC76F0"/>
    <w:rsid w:val="00FD04D5"/>
    <w:rsid w:val="00FD0772"/>
    <w:rsid w:val="00FD0BCA"/>
    <w:rsid w:val="00FD2630"/>
    <w:rsid w:val="00FD328C"/>
    <w:rsid w:val="00FD3B7C"/>
    <w:rsid w:val="00FD4025"/>
    <w:rsid w:val="00FD40BF"/>
    <w:rsid w:val="00FD52E1"/>
    <w:rsid w:val="00FD5F84"/>
    <w:rsid w:val="00FD7299"/>
    <w:rsid w:val="00FE0763"/>
    <w:rsid w:val="00FE089A"/>
    <w:rsid w:val="00FE2094"/>
    <w:rsid w:val="00FE263E"/>
    <w:rsid w:val="00FE277D"/>
    <w:rsid w:val="00FE43CA"/>
    <w:rsid w:val="00FE586B"/>
    <w:rsid w:val="00FE604D"/>
    <w:rsid w:val="00FE764B"/>
    <w:rsid w:val="00FE7E03"/>
    <w:rsid w:val="00FF043C"/>
    <w:rsid w:val="00FF0A29"/>
    <w:rsid w:val="00FF395F"/>
    <w:rsid w:val="00FF6172"/>
    <w:rsid w:val="00FF6A8B"/>
    <w:rsid w:val="00FF6D69"/>
    <w:rsid w:val="00FF6E78"/>
    <w:rsid w:val="00FF7F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7F6F9"/>
  <w15:docId w15:val="{CD38738E-B62C-4183-8B62-9EECA7E4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24F5"/>
    <w:pPr>
      <w:spacing w:after="150" w:line="276" w:lineRule="auto"/>
      <w:jc w:val="both"/>
    </w:pPr>
  </w:style>
  <w:style w:type="paragraph" w:styleId="Cmsor1">
    <w:name w:val="heading 1"/>
    <w:basedOn w:val="Norml"/>
    <w:next w:val="Norml"/>
    <w:link w:val="Cmsor1Char"/>
    <w:qFormat/>
    <w:rsid w:val="005A24F5"/>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5A24F5"/>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5A24F5"/>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5A24F5"/>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5A24F5"/>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5A24F5"/>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5A24F5"/>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5A24F5"/>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5A24F5"/>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5A24F5"/>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5A24F5"/>
  </w:style>
  <w:style w:type="table" w:customStyle="1" w:styleId="tblzat-mtrix">
    <w:name w:val="táblázat - mátrix"/>
    <w:basedOn w:val="Normltblzat"/>
    <w:uiPriority w:val="2"/>
    <w:qFormat/>
    <w:rsid w:val="005A24F5"/>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5A24F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aliases w:val="lista_2,Paragraphe EI,Paragraphe de liste1,EC,Paragraphe de liste"/>
    <w:basedOn w:val="Norml"/>
    <w:link w:val="ListaszerbekezdsChar"/>
    <w:uiPriority w:val="4"/>
    <w:qFormat/>
    <w:rsid w:val="005A24F5"/>
    <w:pPr>
      <w:numPr>
        <w:numId w:val="8"/>
      </w:numPr>
      <w:contextualSpacing/>
    </w:pPr>
  </w:style>
  <w:style w:type="character" w:styleId="Hiperhivatkozs">
    <w:name w:val="Hyperlink"/>
    <w:basedOn w:val="Vgjegyzet-hivatkozs"/>
    <w:uiPriority w:val="99"/>
    <w:rsid w:val="005A24F5"/>
    <w:rPr>
      <w:rFonts w:ascii="Calibri" w:hAnsi="Calibri"/>
      <w:color w:val="0000FF"/>
      <w:sz w:val="20"/>
      <w:u w:val="single"/>
      <w:vertAlign w:val="superscript"/>
    </w:rPr>
  </w:style>
  <w:style w:type="table" w:customStyle="1" w:styleId="tblzat-oldallces">
    <w:name w:val="táblázat - oldalléces"/>
    <w:basedOn w:val="Normltblzat"/>
    <w:uiPriority w:val="3"/>
    <w:qFormat/>
    <w:rsid w:val="005A24F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5A24F5"/>
    <w:rPr>
      <w:vertAlign w:val="superscript"/>
    </w:rPr>
  </w:style>
  <w:style w:type="paragraph" w:styleId="Buborkszveg">
    <w:name w:val="Balloon Text"/>
    <w:basedOn w:val="Norml"/>
    <w:link w:val="BuborkszvegChar"/>
    <w:uiPriority w:val="99"/>
    <w:semiHidden/>
    <w:unhideWhenUsed/>
    <w:rsid w:val="005A24F5"/>
    <w:rPr>
      <w:rFonts w:ascii="Tahoma" w:hAnsi="Tahoma" w:cs="Tahoma"/>
      <w:sz w:val="16"/>
      <w:szCs w:val="16"/>
    </w:rPr>
  </w:style>
  <w:style w:type="paragraph" w:customStyle="1" w:styleId="Magyarzszveg">
    <w:name w:val="Magyarázó szöveg"/>
    <w:basedOn w:val="Norml"/>
    <w:next w:val="Norml"/>
    <w:uiPriority w:val="7"/>
    <w:rsid w:val="005A24F5"/>
    <w:rPr>
      <w:color w:val="F6A800" w:themeColor="accent5"/>
      <w:sz w:val="18"/>
    </w:rPr>
  </w:style>
  <w:style w:type="character" w:customStyle="1" w:styleId="BuborkszvegChar">
    <w:name w:val="Buborékszöveg Char"/>
    <w:basedOn w:val="Bekezdsalapbettpusa"/>
    <w:link w:val="Buborkszveg"/>
    <w:uiPriority w:val="99"/>
    <w:semiHidden/>
    <w:rsid w:val="005A24F5"/>
    <w:rPr>
      <w:rFonts w:ascii="Tahoma" w:hAnsi="Tahoma" w:cs="Tahoma"/>
      <w:sz w:val="16"/>
      <w:szCs w:val="16"/>
    </w:rPr>
  </w:style>
  <w:style w:type="paragraph" w:styleId="lfej">
    <w:name w:val="header"/>
    <w:basedOn w:val="Norml"/>
    <w:link w:val="lfejChar"/>
    <w:uiPriority w:val="99"/>
    <w:unhideWhenUsed/>
    <w:rsid w:val="005A24F5"/>
    <w:pPr>
      <w:tabs>
        <w:tab w:val="center" w:pos="4536"/>
        <w:tab w:val="right" w:pos="9072"/>
      </w:tabs>
    </w:pPr>
  </w:style>
  <w:style w:type="character" w:customStyle="1" w:styleId="lfejChar">
    <w:name w:val="Élőfej Char"/>
    <w:basedOn w:val="Bekezdsalapbettpusa"/>
    <w:link w:val="lfej"/>
    <w:uiPriority w:val="99"/>
    <w:rsid w:val="005A24F5"/>
  </w:style>
  <w:style w:type="paragraph" w:styleId="llb">
    <w:name w:val="footer"/>
    <w:basedOn w:val="Norml"/>
    <w:link w:val="llbChar"/>
    <w:uiPriority w:val="99"/>
    <w:unhideWhenUsed/>
    <w:rsid w:val="005A24F5"/>
    <w:pPr>
      <w:tabs>
        <w:tab w:val="center" w:pos="4536"/>
        <w:tab w:val="right" w:pos="9072"/>
      </w:tabs>
    </w:pPr>
  </w:style>
  <w:style w:type="character" w:customStyle="1" w:styleId="llbChar">
    <w:name w:val="Élőláb Char"/>
    <w:basedOn w:val="Bekezdsalapbettpusa"/>
    <w:link w:val="llb"/>
    <w:uiPriority w:val="99"/>
    <w:rsid w:val="005A24F5"/>
  </w:style>
  <w:style w:type="paragraph" w:customStyle="1" w:styleId="Szmozs">
    <w:name w:val="Számozás"/>
    <w:basedOn w:val="Norml"/>
    <w:uiPriority w:val="4"/>
    <w:qFormat/>
    <w:rsid w:val="005A24F5"/>
    <w:pPr>
      <w:numPr>
        <w:numId w:val="4"/>
      </w:numPr>
      <w:spacing w:before="120"/>
      <w:contextualSpacing/>
    </w:pPr>
  </w:style>
  <w:style w:type="table" w:styleId="Rcsostblzat">
    <w:name w:val="Table Grid"/>
    <w:aliases w:val="Szegély nélküli"/>
    <w:basedOn w:val="Normltblzat"/>
    <w:uiPriority w:val="59"/>
    <w:rsid w:val="005A24F5"/>
    <w:pPr>
      <w:contextualSpacing/>
    </w:pPr>
    <w:tblPr/>
    <w:tcPr>
      <w:vAlign w:val="center"/>
    </w:tcPr>
  </w:style>
  <w:style w:type="character" w:customStyle="1" w:styleId="Cmsor4Char">
    <w:name w:val="Címsor 4 Char"/>
    <w:basedOn w:val="Bekezdsalapbettpusa"/>
    <w:link w:val="Cmsor4"/>
    <w:rsid w:val="005A24F5"/>
    <w:rPr>
      <w:iCs/>
      <w:color w:val="0C2148" w:themeColor="text2"/>
      <w:szCs w:val="30"/>
    </w:rPr>
  </w:style>
  <w:style w:type="character" w:customStyle="1" w:styleId="Cmsor5Char">
    <w:name w:val="Címsor 5 Char"/>
    <w:basedOn w:val="Bekezdsalapbettpusa"/>
    <w:link w:val="Cmsor5"/>
    <w:rsid w:val="005A24F5"/>
    <w:rPr>
      <w:color w:val="0C2148" w:themeColor="text2"/>
      <w:szCs w:val="26"/>
    </w:rPr>
  </w:style>
  <w:style w:type="character" w:customStyle="1" w:styleId="Cmsor6Char">
    <w:name w:val="Címsor 6 Char"/>
    <w:basedOn w:val="Bekezdsalapbettpusa"/>
    <w:link w:val="Cmsor6"/>
    <w:rsid w:val="005A24F5"/>
    <w:rPr>
      <w:color w:val="0C2148" w:themeColor="text2"/>
    </w:rPr>
  </w:style>
  <w:style w:type="character" w:customStyle="1" w:styleId="Cmsor1Char">
    <w:name w:val="Címsor 1 Char"/>
    <w:basedOn w:val="Bekezdsalapbettpusa"/>
    <w:link w:val="Cmsor1"/>
    <w:rsid w:val="005A24F5"/>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5A24F5"/>
    <w:rPr>
      <w:b/>
      <w:color w:val="0C2148" w:themeColor="text2"/>
      <w:sz w:val="24"/>
      <w:szCs w:val="38"/>
    </w:rPr>
  </w:style>
  <w:style w:type="character" w:customStyle="1" w:styleId="Cmsor3Char">
    <w:name w:val="Címsor 3 Char"/>
    <w:basedOn w:val="Bekezdsalapbettpusa"/>
    <w:link w:val="Cmsor3"/>
    <w:rsid w:val="005A24F5"/>
    <w:rPr>
      <w:bCs/>
      <w:color w:val="0C2148" w:themeColor="text2"/>
      <w:szCs w:val="34"/>
    </w:rPr>
  </w:style>
  <w:style w:type="paragraph" w:styleId="Cm">
    <w:name w:val="Title"/>
    <w:basedOn w:val="Norml"/>
    <w:next w:val="Norml"/>
    <w:link w:val="CmChar"/>
    <w:uiPriority w:val="3"/>
    <w:qFormat/>
    <w:rsid w:val="005A24F5"/>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5A24F5"/>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5A24F5"/>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5A24F5"/>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5A24F5"/>
    <w:rPr>
      <w:rFonts w:eastAsiaTheme="majorEastAsia" w:cstheme="majorBidi"/>
      <w:i/>
      <w:iCs/>
      <w:color w:val="404040" w:themeColor="text1" w:themeTint="BF"/>
    </w:rPr>
  </w:style>
  <w:style w:type="numbering" w:customStyle="1" w:styleId="Style1">
    <w:name w:val="Style1"/>
    <w:uiPriority w:val="99"/>
    <w:rsid w:val="005A24F5"/>
    <w:pPr>
      <w:numPr>
        <w:numId w:val="1"/>
      </w:numPr>
    </w:pPr>
  </w:style>
  <w:style w:type="paragraph" w:styleId="TJ7">
    <w:name w:val="toc 7"/>
    <w:basedOn w:val="Norml"/>
    <w:next w:val="Norml"/>
    <w:autoRedefine/>
    <w:uiPriority w:val="99"/>
    <w:locked/>
    <w:rsid w:val="005A24F5"/>
    <w:pPr>
      <w:spacing w:after="100"/>
      <w:ind w:left="1200"/>
    </w:pPr>
    <w:rPr>
      <w:color w:val="385623" w:themeColor="accent6" w:themeShade="80"/>
    </w:rPr>
  </w:style>
  <w:style w:type="paragraph" w:styleId="TJ8">
    <w:name w:val="toc 8"/>
    <w:basedOn w:val="Norml"/>
    <w:next w:val="Norml"/>
    <w:autoRedefine/>
    <w:uiPriority w:val="99"/>
    <w:locked/>
    <w:rsid w:val="005A24F5"/>
    <w:pPr>
      <w:spacing w:after="100"/>
      <w:ind w:left="1400"/>
    </w:pPr>
    <w:rPr>
      <w:color w:val="385623" w:themeColor="accent6" w:themeShade="80"/>
    </w:rPr>
  </w:style>
  <w:style w:type="paragraph" w:styleId="TJ9">
    <w:name w:val="toc 9"/>
    <w:basedOn w:val="Norml"/>
    <w:next w:val="Norml"/>
    <w:autoRedefine/>
    <w:uiPriority w:val="99"/>
    <w:locked/>
    <w:rsid w:val="005A24F5"/>
    <w:pPr>
      <w:spacing w:after="100"/>
      <w:ind w:left="1600"/>
    </w:pPr>
    <w:rPr>
      <w:color w:val="385623" w:themeColor="accent6" w:themeShade="80"/>
    </w:rPr>
  </w:style>
  <w:style w:type="table" w:customStyle="1" w:styleId="Calendar2">
    <w:name w:val="Calendar 2"/>
    <w:basedOn w:val="Normltblzat"/>
    <w:uiPriority w:val="99"/>
    <w:qFormat/>
    <w:rsid w:val="005A24F5"/>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5A24F5"/>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5A24F5"/>
    <w:rPr>
      <w:rFonts w:eastAsiaTheme="minorEastAsia"/>
      <w:color w:val="0C2148" w:themeColor="text2"/>
      <w:sz w:val="16"/>
    </w:rPr>
  </w:style>
  <w:style w:type="character" w:styleId="Finomkiemels">
    <w:name w:val="Subtle Emphasis"/>
    <w:basedOn w:val="Bekezdsalapbettpusa"/>
    <w:uiPriority w:val="19"/>
    <w:qFormat/>
    <w:rsid w:val="005A24F5"/>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5A24F5"/>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5A24F5"/>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5A24F5"/>
    <w:rPr>
      <w:color w:val="385623" w:themeColor="accent6" w:themeShade="80"/>
    </w:rPr>
  </w:style>
  <w:style w:type="character" w:customStyle="1" w:styleId="VgjegyzetszvegeChar">
    <w:name w:val="Végjegyzet szövege Char"/>
    <w:basedOn w:val="Bekezdsalapbettpusa"/>
    <w:link w:val="Vgjegyzetszvege"/>
    <w:uiPriority w:val="99"/>
    <w:semiHidden/>
    <w:rsid w:val="005A24F5"/>
    <w:rPr>
      <w:color w:val="385623" w:themeColor="accent6" w:themeShade="80"/>
    </w:rPr>
  </w:style>
  <w:style w:type="table" w:customStyle="1" w:styleId="Vilgosrnykols1jellszn1">
    <w:name w:val="Világos árnyékolás – 1. jelölőszín1"/>
    <w:basedOn w:val="Normltblzat"/>
    <w:uiPriority w:val="60"/>
    <w:rsid w:val="005A24F5"/>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5A24F5"/>
    <w:pPr>
      <w:numPr>
        <w:numId w:val="5"/>
      </w:numPr>
    </w:pPr>
  </w:style>
  <w:style w:type="paragraph" w:customStyle="1" w:styleId="Tblaszvegstlus">
    <w:name w:val="Tábla szöveg stílus"/>
    <w:basedOn w:val="Norml"/>
    <w:link w:val="TblaszvegstlusChar"/>
    <w:uiPriority w:val="8"/>
    <w:qFormat/>
    <w:rsid w:val="005A24F5"/>
  </w:style>
  <w:style w:type="character" w:customStyle="1" w:styleId="ListaszerbekezdsChar">
    <w:name w:val="Listaszerű bekezdés Char"/>
    <w:aliases w:val="lista_2 Char,Paragraphe EI Char,Paragraphe de liste1 Char,EC Char,Paragraphe de liste Char"/>
    <w:basedOn w:val="Bekezdsalapbettpusa"/>
    <w:link w:val="Listaszerbekezds"/>
    <w:uiPriority w:val="4"/>
    <w:rsid w:val="005A24F5"/>
  </w:style>
  <w:style w:type="character" w:customStyle="1" w:styleId="Listaszerbekezds2Char">
    <w:name w:val="Listaszerű bekezdés 2 Char"/>
    <w:basedOn w:val="ListaszerbekezdsChar"/>
    <w:link w:val="Listaszerbekezds2"/>
    <w:uiPriority w:val="4"/>
    <w:rsid w:val="005A24F5"/>
  </w:style>
  <w:style w:type="character" w:customStyle="1" w:styleId="TblaszvegstlusChar">
    <w:name w:val="Tábla szöveg stílus Char"/>
    <w:basedOn w:val="Bekezdsalapbettpusa"/>
    <w:link w:val="Tblaszvegstlus"/>
    <w:uiPriority w:val="8"/>
    <w:rsid w:val="005A24F5"/>
  </w:style>
  <w:style w:type="character" w:styleId="Finomhivatkozs">
    <w:name w:val="Subtle Reference"/>
    <w:basedOn w:val="Bekezdsalapbettpusa"/>
    <w:uiPriority w:val="31"/>
    <w:rsid w:val="005A24F5"/>
    <w:rPr>
      <w:sz w:val="24"/>
      <w:szCs w:val="24"/>
      <w:u w:val="single"/>
    </w:rPr>
  </w:style>
  <w:style w:type="character" w:styleId="Ershivatkozs">
    <w:name w:val="Intense Reference"/>
    <w:basedOn w:val="Bekezdsalapbettpusa"/>
    <w:uiPriority w:val="32"/>
    <w:rsid w:val="005A24F5"/>
    <w:rPr>
      <w:b/>
      <w:sz w:val="24"/>
      <w:u w:val="single"/>
    </w:rPr>
  </w:style>
  <w:style w:type="paragraph" w:customStyle="1" w:styleId="Listaszerbekezds2szint">
    <w:name w:val="Listaszerű bekezdés 2. szint"/>
    <w:basedOn w:val="Listaszerbekezds"/>
    <w:link w:val="Listaszerbekezds2szintChar"/>
    <w:uiPriority w:val="4"/>
    <w:qFormat/>
    <w:rsid w:val="005A24F5"/>
    <w:pPr>
      <w:numPr>
        <w:numId w:val="7"/>
      </w:numPr>
    </w:pPr>
  </w:style>
  <w:style w:type="paragraph" w:customStyle="1" w:styleId="Listaszerbekezds3szint">
    <w:name w:val="Listaszerű bekezdés 3. szint"/>
    <w:basedOn w:val="Listaszerbekezds"/>
    <w:link w:val="Listaszerbekezds3szintChar"/>
    <w:uiPriority w:val="4"/>
    <w:qFormat/>
    <w:rsid w:val="005A24F5"/>
    <w:pPr>
      <w:numPr>
        <w:ilvl w:val="2"/>
        <w:numId w:val="9"/>
      </w:numPr>
    </w:pPr>
  </w:style>
  <w:style w:type="character" w:customStyle="1" w:styleId="Listaszerbekezds2szintChar">
    <w:name w:val="Listaszerű bekezdés 2. szint Char"/>
    <w:basedOn w:val="ListaszerbekezdsChar"/>
    <w:link w:val="Listaszerbekezds2szint"/>
    <w:uiPriority w:val="4"/>
    <w:rsid w:val="005A24F5"/>
  </w:style>
  <w:style w:type="character" w:customStyle="1" w:styleId="Listaszerbekezds3szintChar">
    <w:name w:val="Listaszerű bekezdés 3. szint Char"/>
    <w:basedOn w:val="ListaszerbekezdsChar"/>
    <w:link w:val="Listaszerbekezds3szint"/>
    <w:uiPriority w:val="4"/>
    <w:rsid w:val="005A24F5"/>
  </w:style>
  <w:style w:type="paragraph" w:styleId="Alcm">
    <w:name w:val="Subtitle"/>
    <w:basedOn w:val="Norml"/>
    <w:next w:val="Norml"/>
    <w:link w:val="AlcmChar"/>
    <w:uiPriority w:val="11"/>
    <w:rsid w:val="005A24F5"/>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5A24F5"/>
    <w:rPr>
      <w:rFonts w:eastAsiaTheme="majorEastAsia" w:cstheme="majorBidi"/>
    </w:rPr>
  </w:style>
  <w:style w:type="paragraph" w:customStyle="1" w:styleId="Listabetvel">
    <w:name w:val="Lista betűvel"/>
    <w:basedOn w:val="Listaszerbekezds"/>
    <w:link w:val="ListabetvelChar"/>
    <w:uiPriority w:val="4"/>
    <w:qFormat/>
    <w:rsid w:val="005A24F5"/>
    <w:pPr>
      <w:numPr>
        <w:numId w:val="6"/>
      </w:numPr>
    </w:pPr>
  </w:style>
  <w:style w:type="character" w:customStyle="1" w:styleId="ListabetvelChar">
    <w:name w:val="Lista betűvel Char"/>
    <w:basedOn w:val="ListaszerbekezdsChar"/>
    <w:link w:val="Listabetvel"/>
    <w:uiPriority w:val="4"/>
    <w:rsid w:val="005A24F5"/>
  </w:style>
  <w:style w:type="paragraph" w:customStyle="1" w:styleId="Erskiemels1">
    <w:name w:val="Erős kiemelés1"/>
    <w:basedOn w:val="Norml"/>
    <w:link w:val="ErskiemelsChar"/>
    <w:uiPriority w:val="5"/>
    <w:qFormat/>
    <w:rsid w:val="005A24F5"/>
    <w:rPr>
      <w:b/>
      <w:i/>
    </w:rPr>
  </w:style>
  <w:style w:type="character" w:customStyle="1" w:styleId="ErskiemelsChar">
    <w:name w:val="Erős kiemelés Char"/>
    <w:basedOn w:val="Bekezdsalapbettpusa"/>
    <w:link w:val="Erskiemels1"/>
    <w:uiPriority w:val="5"/>
    <w:rsid w:val="005A24F5"/>
    <w:rPr>
      <w:b/>
      <w:i/>
    </w:rPr>
  </w:style>
  <w:style w:type="paragraph" w:customStyle="1" w:styleId="Bold">
    <w:name w:val="Bold"/>
    <w:basedOn w:val="Norml"/>
    <w:link w:val="BoldChar"/>
    <w:uiPriority w:val="6"/>
    <w:qFormat/>
    <w:rsid w:val="005A24F5"/>
    <w:rPr>
      <w:b/>
    </w:rPr>
  </w:style>
  <w:style w:type="character" w:customStyle="1" w:styleId="BoldChar">
    <w:name w:val="Bold Char"/>
    <w:basedOn w:val="Bekezdsalapbettpusa"/>
    <w:link w:val="Bold"/>
    <w:uiPriority w:val="6"/>
    <w:rsid w:val="005A24F5"/>
    <w:rPr>
      <w:b/>
    </w:rPr>
  </w:style>
  <w:style w:type="character" w:styleId="Mrltotthiperhivatkozs">
    <w:name w:val="FollowedHyperlink"/>
    <w:basedOn w:val="Bekezdsalapbettpusa"/>
    <w:uiPriority w:val="99"/>
    <w:semiHidden/>
    <w:unhideWhenUsed/>
    <w:rsid w:val="005A24F5"/>
    <w:rPr>
      <w:color w:val="954F72" w:themeColor="followedHyperlink"/>
      <w:u w:val="single"/>
    </w:rPr>
  </w:style>
  <w:style w:type="paragraph" w:styleId="Tartalomjegyzkcmsora">
    <w:name w:val="TOC Heading"/>
    <w:basedOn w:val="Cmsor1"/>
    <w:next w:val="Norml"/>
    <w:uiPriority w:val="39"/>
    <w:unhideWhenUsed/>
    <w:qFormat/>
    <w:rsid w:val="005A24F5"/>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5A24F5"/>
    <w:pPr>
      <w:spacing w:after="100"/>
      <w:ind w:left="220"/>
      <w:jc w:val="left"/>
    </w:pPr>
    <w:rPr>
      <w:rFonts w:eastAsiaTheme="minorEastAsia"/>
    </w:rPr>
  </w:style>
  <w:style w:type="paragraph" w:styleId="TJ1">
    <w:name w:val="toc 1"/>
    <w:basedOn w:val="Norml"/>
    <w:next w:val="Norml"/>
    <w:autoRedefine/>
    <w:uiPriority w:val="39"/>
    <w:unhideWhenUsed/>
    <w:qFormat/>
    <w:locked/>
    <w:rsid w:val="005A24F5"/>
    <w:pPr>
      <w:spacing w:after="100"/>
      <w:jc w:val="left"/>
    </w:pPr>
    <w:rPr>
      <w:rFonts w:eastAsiaTheme="minorEastAsia"/>
    </w:rPr>
  </w:style>
  <w:style w:type="paragraph" w:styleId="TJ3">
    <w:name w:val="toc 3"/>
    <w:basedOn w:val="Norml"/>
    <w:next w:val="Norml"/>
    <w:uiPriority w:val="39"/>
    <w:unhideWhenUsed/>
    <w:qFormat/>
    <w:locked/>
    <w:rsid w:val="005A24F5"/>
    <w:pPr>
      <w:spacing w:after="100"/>
      <w:ind w:left="400"/>
    </w:pPr>
  </w:style>
  <w:style w:type="paragraph" w:customStyle="1" w:styleId="StyleTOC2Left015">
    <w:name w:val="Style TOC 2 + Left:  0.15&quot;"/>
    <w:basedOn w:val="TJ2"/>
    <w:rsid w:val="005A24F5"/>
    <w:pPr>
      <w:ind w:left="216"/>
    </w:pPr>
    <w:rPr>
      <w:rFonts w:eastAsia="Times New Roman" w:cs="Times New Roman"/>
    </w:rPr>
  </w:style>
  <w:style w:type="paragraph" w:customStyle="1" w:styleId="StyleTOC3Left031">
    <w:name w:val="Style TOC 3 + Left:  0.31&quot;"/>
    <w:basedOn w:val="TJ3"/>
    <w:rsid w:val="005A24F5"/>
    <w:pPr>
      <w:ind w:left="446"/>
    </w:pPr>
    <w:rPr>
      <w:rFonts w:eastAsia="Times New Roman" w:cs="Times New Roman"/>
    </w:rPr>
  </w:style>
  <w:style w:type="numbering" w:customStyle="1" w:styleId="Hierarchikuslista">
    <w:name w:val="Hierarchikus lista"/>
    <w:uiPriority w:val="99"/>
    <w:rsid w:val="005A24F5"/>
    <w:pPr>
      <w:numPr>
        <w:numId w:val="2"/>
      </w:numPr>
    </w:pPr>
  </w:style>
  <w:style w:type="paragraph" w:customStyle="1" w:styleId="HierarchikusLista0">
    <w:name w:val="Hierarchikus Lista"/>
    <w:basedOn w:val="Listaszerbekezds"/>
    <w:link w:val="HierarchikusListaChar"/>
    <w:qFormat/>
    <w:rsid w:val="005A24F5"/>
    <w:pPr>
      <w:numPr>
        <w:numId w:val="0"/>
      </w:numPr>
    </w:pPr>
  </w:style>
  <w:style w:type="character" w:customStyle="1" w:styleId="HierarchikusListaChar">
    <w:name w:val="Hierarchikus Lista Char"/>
    <w:basedOn w:val="ListaszerbekezdsChar"/>
    <w:link w:val="HierarchikusLista0"/>
    <w:rsid w:val="005A24F5"/>
  </w:style>
  <w:style w:type="character" w:styleId="Kiemels2">
    <w:name w:val="Strong"/>
    <w:basedOn w:val="Bekezdsalapbettpusa"/>
    <w:uiPriority w:val="22"/>
    <w:rsid w:val="005A24F5"/>
    <w:rPr>
      <w:b/>
      <w:bCs/>
    </w:rPr>
  </w:style>
  <w:style w:type="character" w:styleId="Kiemels">
    <w:name w:val="Emphasis"/>
    <w:basedOn w:val="Bekezdsalapbettpusa"/>
    <w:uiPriority w:val="6"/>
    <w:qFormat/>
    <w:rsid w:val="005A24F5"/>
    <w:rPr>
      <w:i/>
      <w:iCs/>
    </w:rPr>
  </w:style>
  <w:style w:type="paragraph" w:styleId="Nincstrkz">
    <w:name w:val="No Spacing"/>
    <w:basedOn w:val="Norml"/>
    <w:uiPriority w:val="1"/>
    <w:rsid w:val="005A24F5"/>
    <w:rPr>
      <w:szCs w:val="32"/>
    </w:rPr>
  </w:style>
  <w:style w:type="paragraph" w:styleId="Idzet">
    <w:name w:val="Quote"/>
    <w:basedOn w:val="Norml"/>
    <w:next w:val="Norml"/>
    <w:link w:val="IdzetChar"/>
    <w:uiPriority w:val="29"/>
    <w:rsid w:val="005A24F5"/>
    <w:rPr>
      <w:i/>
    </w:rPr>
  </w:style>
  <w:style w:type="character" w:customStyle="1" w:styleId="IdzetChar">
    <w:name w:val="Idézet Char"/>
    <w:basedOn w:val="Bekezdsalapbettpusa"/>
    <w:link w:val="Idzet"/>
    <w:uiPriority w:val="29"/>
    <w:rsid w:val="005A24F5"/>
    <w:rPr>
      <w:i/>
    </w:rPr>
  </w:style>
  <w:style w:type="paragraph" w:styleId="Kiemeltidzet">
    <w:name w:val="Intense Quote"/>
    <w:basedOn w:val="Norml"/>
    <w:next w:val="Norml"/>
    <w:link w:val="KiemeltidzetChar"/>
    <w:uiPriority w:val="30"/>
    <w:rsid w:val="005A24F5"/>
    <w:pPr>
      <w:ind w:left="720" w:right="720"/>
    </w:pPr>
    <w:rPr>
      <w:b/>
      <w:i/>
    </w:rPr>
  </w:style>
  <w:style w:type="character" w:customStyle="1" w:styleId="KiemeltidzetChar">
    <w:name w:val="Kiemelt idézet Char"/>
    <w:basedOn w:val="Bekezdsalapbettpusa"/>
    <w:link w:val="Kiemeltidzet"/>
    <w:uiPriority w:val="30"/>
    <w:rsid w:val="005A24F5"/>
    <w:rPr>
      <w:b/>
      <w:i/>
    </w:rPr>
  </w:style>
  <w:style w:type="character" w:styleId="Erskiemels">
    <w:name w:val="Intense Emphasis"/>
    <w:basedOn w:val="Bekezdsalapbettpusa"/>
    <w:uiPriority w:val="21"/>
    <w:rsid w:val="005A24F5"/>
    <w:rPr>
      <w:b/>
      <w:i/>
      <w:sz w:val="24"/>
      <w:szCs w:val="24"/>
      <w:u w:val="single"/>
    </w:rPr>
  </w:style>
  <w:style w:type="character" w:styleId="Knyvcme">
    <w:name w:val="Book Title"/>
    <w:basedOn w:val="Bekezdsalapbettpusa"/>
    <w:uiPriority w:val="33"/>
    <w:rsid w:val="005A24F5"/>
    <w:rPr>
      <w:rFonts w:ascii="Calibri" w:eastAsiaTheme="majorEastAsia" w:hAnsi="Calibri"/>
      <w:b/>
      <w:i/>
      <w:sz w:val="24"/>
      <w:szCs w:val="24"/>
    </w:rPr>
  </w:style>
  <w:style w:type="paragraph" w:customStyle="1" w:styleId="Szvegdobozstlus">
    <w:name w:val="Szövegdoboz stílus"/>
    <w:basedOn w:val="HierarchikusLista0"/>
    <w:qFormat/>
    <w:rsid w:val="005A24F5"/>
    <w:rPr>
      <w:b/>
      <w:i/>
      <w:color w:val="009EE0"/>
    </w:rPr>
  </w:style>
  <w:style w:type="table" w:customStyle="1" w:styleId="Rcsos">
    <w:name w:val="Rácsos"/>
    <w:basedOn w:val="Normltblzat"/>
    <w:uiPriority w:val="99"/>
    <w:rsid w:val="005A24F5"/>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5A24F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5A24F5"/>
    <w:pPr>
      <w:keepNext/>
      <w:spacing w:after="40"/>
      <w:jc w:val="center"/>
    </w:pPr>
    <w:rPr>
      <w:b/>
      <w:bCs/>
      <w:color w:val="808080"/>
      <w:szCs w:val="18"/>
    </w:rPr>
  </w:style>
  <w:style w:type="paragraph" w:customStyle="1" w:styleId="ENCaption2Col">
    <w:name w:val="EN_Caption_2Col"/>
    <w:basedOn w:val="Norml"/>
    <w:next w:val="Norml"/>
    <w:uiPriority w:val="1"/>
    <w:qFormat/>
    <w:rsid w:val="005A24F5"/>
    <w:pPr>
      <w:keepNext/>
      <w:spacing w:after="40"/>
      <w:jc w:val="left"/>
    </w:pPr>
    <w:rPr>
      <w:b/>
      <w:bCs/>
      <w:color w:val="808080"/>
      <w:szCs w:val="18"/>
    </w:rPr>
  </w:style>
  <w:style w:type="paragraph" w:customStyle="1" w:styleId="ENCaptionBox">
    <w:name w:val="EN_Caption_Box"/>
    <w:basedOn w:val="Norml"/>
    <w:next w:val="Norml"/>
    <w:uiPriority w:val="1"/>
    <w:qFormat/>
    <w:rsid w:val="005A24F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5A24F5"/>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5A24F5"/>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5A24F5"/>
    <w:rPr>
      <w:rFonts w:eastAsiaTheme="minorEastAsia"/>
      <w:color w:val="808080"/>
      <w:sz w:val="18"/>
    </w:rPr>
  </w:style>
  <w:style w:type="paragraph" w:customStyle="1" w:styleId="ENNormal">
    <w:name w:val="EN_Normal"/>
    <w:basedOn w:val="Norml"/>
    <w:uiPriority w:val="1"/>
    <w:qFormat/>
    <w:rsid w:val="005A24F5"/>
  </w:style>
  <w:style w:type="paragraph" w:customStyle="1" w:styleId="ENNormalBox">
    <w:name w:val="EN_Normal_Box"/>
    <w:basedOn w:val="Norml"/>
    <w:uiPriority w:val="1"/>
    <w:qFormat/>
    <w:rsid w:val="005A24F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5A24F5"/>
    <w:pPr>
      <w:keepLines/>
      <w:jc w:val="center"/>
    </w:pPr>
    <w:rPr>
      <w:color w:val="808080"/>
      <w:sz w:val="18"/>
    </w:rPr>
  </w:style>
  <w:style w:type="paragraph" w:customStyle="1" w:styleId="ENNote2Col">
    <w:name w:val="EN_Note_2Col"/>
    <w:basedOn w:val="Norml"/>
    <w:next w:val="ENNormal"/>
    <w:uiPriority w:val="1"/>
    <w:qFormat/>
    <w:rsid w:val="005A24F5"/>
    <w:pPr>
      <w:keepLines/>
    </w:pPr>
    <w:rPr>
      <w:color w:val="808080"/>
      <w:sz w:val="18"/>
    </w:rPr>
  </w:style>
  <w:style w:type="paragraph" w:customStyle="1" w:styleId="ENNoteBox">
    <w:name w:val="EN_Note_Box"/>
    <w:basedOn w:val="Norml"/>
    <w:next w:val="ENNormalBox"/>
    <w:uiPriority w:val="1"/>
    <w:qFormat/>
    <w:rsid w:val="005A24F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5A24F5"/>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5A24F5"/>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5A24F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5A24F5"/>
    <w:pPr>
      <w:keepNext/>
      <w:spacing w:after="40"/>
      <w:jc w:val="center"/>
    </w:pPr>
    <w:rPr>
      <w:sz w:val="20"/>
    </w:rPr>
  </w:style>
  <w:style w:type="paragraph" w:customStyle="1" w:styleId="HUCaption2Col">
    <w:name w:val="HU_Caption_2Col"/>
    <w:basedOn w:val="Kpalrs"/>
    <w:next w:val="Norml"/>
    <w:uiPriority w:val="1"/>
    <w:qFormat/>
    <w:rsid w:val="005A24F5"/>
    <w:pPr>
      <w:keepNext/>
      <w:spacing w:after="40"/>
    </w:pPr>
    <w:rPr>
      <w:sz w:val="20"/>
    </w:rPr>
  </w:style>
  <w:style w:type="paragraph" w:customStyle="1" w:styleId="HUCaptionBox">
    <w:name w:val="HU_Caption_Box"/>
    <w:basedOn w:val="Kpalrs"/>
    <w:next w:val="Norml"/>
    <w:uiPriority w:val="1"/>
    <w:qFormat/>
    <w:rsid w:val="005A24F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5A24F5"/>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5A24F5"/>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5A24F5"/>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5A24F5"/>
    <w:rPr>
      <w:caps/>
      <w:color w:val="0C2148" w:themeColor="text2"/>
    </w:rPr>
  </w:style>
  <w:style w:type="paragraph" w:customStyle="1" w:styleId="HUFootnote">
    <w:name w:val="HU_Footnote"/>
    <w:basedOn w:val="Lbjegyzetszveg"/>
    <w:uiPriority w:val="1"/>
    <w:qFormat/>
    <w:rsid w:val="005A24F5"/>
    <w:rPr>
      <w:color w:val="808080"/>
      <w:sz w:val="18"/>
    </w:rPr>
  </w:style>
  <w:style w:type="paragraph" w:customStyle="1" w:styleId="HUNormalBox">
    <w:name w:val="HU_Normal_Box"/>
    <w:basedOn w:val="Norml"/>
    <w:uiPriority w:val="1"/>
    <w:qFormat/>
    <w:rsid w:val="005A24F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5A24F5"/>
    <w:pPr>
      <w:keepLines/>
      <w:jc w:val="center"/>
    </w:pPr>
    <w:rPr>
      <w:color w:val="808080"/>
      <w:sz w:val="18"/>
    </w:rPr>
  </w:style>
  <w:style w:type="paragraph" w:customStyle="1" w:styleId="HUNote2Col">
    <w:name w:val="HU_Note_2Col"/>
    <w:basedOn w:val="Norml"/>
    <w:next w:val="Norml"/>
    <w:uiPriority w:val="1"/>
    <w:qFormat/>
    <w:rsid w:val="005A24F5"/>
    <w:pPr>
      <w:keepLines/>
    </w:pPr>
    <w:rPr>
      <w:color w:val="808080"/>
      <w:sz w:val="18"/>
    </w:rPr>
  </w:style>
  <w:style w:type="paragraph" w:customStyle="1" w:styleId="HUNoteBox">
    <w:name w:val="HU_Note_Box"/>
    <w:basedOn w:val="Norml"/>
    <w:next w:val="HUNormalBox"/>
    <w:link w:val="HUNoteBoxChar"/>
    <w:uiPriority w:val="1"/>
    <w:qFormat/>
    <w:rsid w:val="005A24F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5A24F5"/>
    <w:rPr>
      <w:color w:val="808080"/>
      <w:sz w:val="18"/>
      <w:shd w:val="clear" w:color="auto" w:fill="C6EEFF"/>
    </w:rPr>
  </w:style>
  <w:style w:type="paragraph" w:customStyle="1" w:styleId="HUSectionTitle">
    <w:name w:val="HU_Section_Title"/>
    <w:basedOn w:val="Cmsor2"/>
    <w:next w:val="Norml"/>
    <w:link w:val="HUSectionTitleChar"/>
    <w:uiPriority w:val="1"/>
    <w:rsid w:val="005A24F5"/>
    <w:pPr>
      <w:keepNext/>
    </w:pPr>
  </w:style>
  <w:style w:type="character" w:customStyle="1" w:styleId="HUSectionTitleChar">
    <w:name w:val="HU_Section_Title Char"/>
    <w:basedOn w:val="Cmsor2Char"/>
    <w:link w:val="HUSectionTitle"/>
    <w:uiPriority w:val="1"/>
    <w:rsid w:val="005A24F5"/>
    <w:rPr>
      <w:b/>
      <w:color w:val="0C2148" w:themeColor="text2"/>
      <w:sz w:val="24"/>
      <w:szCs w:val="38"/>
    </w:rPr>
  </w:style>
  <w:style w:type="paragraph" w:customStyle="1" w:styleId="HUSubsectionTitle">
    <w:name w:val="HU_Subsection_Title"/>
    <w:basedOn w:val="Cmsor3"/>
    <w:next w:val="Norml"/>
    <w:link w:val="HUSubsectionTitleChar"/>
    <w:uiPriority w:val="1"/>
    <w:rsid w:val="005A24F5"/>
    <w:pPr>
      <w:keepNext/>
      <w:ind w:left="595" w:hanging="595"/>
    </w:pPr>
  </w:style>
  <w:style w:type="character" w:customStyle="1" w:styleId="HUSubsectionTitleChar">
    <w:name w:val="HU_Subsection_Title Char"/>
    <w:basedOn w:val="Cmsor3Char"/>
    <w:link w:val="HUSubsectionTitle"/>
    <w:uiPriority w:val="1"/>
    <w:rsid w:val="005A24F5"/>
    <w:rPr>
      <w:bCs/>
      <w:color w:val="0C2148" w:themeColor="text2"/>
      <w:szCs w:val="34"/>
    </w:rPr>
  </w:style>
  <w:style w:type="paragraph" w:customStyle="1" w:styleId="Heading1Kiadvny">
    <w:name w:val="Heading 1 Kiadvány"/>
    <w:basedOn w:val="Cmsor1"/>
    <w:qFormat/>
    <w:rsid w:val="005A24F5"/>
    <w:rPr>
      <w:b w:val="0"/>
      <w:caps w:val="0"/>
      <w:sz w:val="52"/>
    </w:rPr>
  </w:style>
  <w:style w:type="character" w:styleId="Jegyzethivatkozs">
    <w:name w:val="annotation reference"/>
    <w:basedOn w:val="Bekezdsalapbettpusa"/>
    <w:uiPriority w:val="99"/>
    <w:semiHidden/>
    <w:unhideWhenUsed/>
    <w:rsid w:val="000550A7"/>
    <w:rPr>
      <w:sz w:val="16"/>
      <w:szCs w:val="16"/>
    </w:rPr>
  </w:style>
  <w:style w:type="paragraph" w:styleId="Jegyzetszveg">
    <w:name w:val="annotation text"/>
    <w:basedOn w:val="Norml"/>
    <w:link w:val="JegyzetszvegChar"/>
    <w:uiPriority w:val="99"/>
    <w:unhideWhenUsed/>
    <w:rsid w:val="000550A7"/>
    <w:pPr>
      <w:spacing w:line="240" w:lineRule="auto"/>
    </w:pPr>
  </w:style>
  <w:style w:type="character" w:customStyle="1" w:styleId="JegyzetszvegChar">
    <w:name w:val="Jegyzetszöveg Char"/>
    <w:basedOn w:val="Bekezdsalapbettpusa"/>
    <w:link w:val="Jegyzetszveg"/>
    <w:uiPriority w:val="99"/>
    <w:rsid w:val="000550A7"/>
  </w:style>
  <w:style w:type="paragraph" w:styleId="Megjegyzstrgya">
    <w:name w:val="annotation subject"/>
    <w:basedOn w:val="Jegyzetszveg"/>
    <w:next w:val="Jegyzetszveg"/>
    <w:link w:val="MegjegyzstrgyaChar"/>
    <w:uiPriority w:val="99"/>
    <w:semiHidden/>
    <w:unhideWhenUsed/>
    <w:rsid w:val="002E7440"/>
    <w:rPr>
      <w:b/>
      <w:bCs/>
    </w:rPr>
  </w:style>
  <w:style w:type="character" w:customStyle="1" w:styleId="MegjegyzstrgyaChar">
    <w:name w:val="Megjegyzés tárgya Char"/>
    <w:basedOn w:val="JegyzetszvegChar"/>
    <w:link w:val="Megjegyzstrgya"/>
    <w:uiPriority w:val="99"/>
    <w:semiHidden/>
    <w:rsid w:val="002E7440"/>
    <w:rPr>
      <w:b/>
      <w:bCs/>
    </w:rPr>
  </w:style>
  <w:style w:type="paragraph" w:styleId="Vltozat">
    <w:name w:val="Revision"/>
    <w:hidden/>
    <w:uiPriority w:val="99"/>
    <w:semiHidden/>
    <w:rsid w:val="00B30554"/>
  </w:style>
  <w:style w:type="paragraph" w:styleId="Szvegtrzsbehzssal3">
    <w:name w:val="Body Text Indent 3"/>
    <w:basedOn w:val="Norml"/>
    <w:link w:val="Szvegtrzsbehzssal3Char"/>
    <w:uiPriority w:val="99"/>
    <w:unhideWhenUsed/>
    <w:rsid w:val="008A4DA1"/>
    <w:pPr>
      <w:spacing w:after="0" w:line="360" w:lineRule="atLeast"/>
      <w:ind w:left="432"/>
      <w:jc w:val="left"/>
    </w:pPr>
    <w:rPr>
      <w:rFonts w:ascii="Times New Roman" w:hAnsi="Times New Roman" w:cs="Times New Roman"/>
      <w:sz w:val="24"/>
      <w:szCs w:val="24"/>
    </w:rPr>
  </w:style>
  <w:style w:type="character" w:customStyle="1" w:styleId="Szvegtrzsbehzssal3Char">
    <w:name w:val="Szövegtörzs behúzással 3 Char"/>
    <w:basedOn w:val="Bekezdsalapbettpusa"/>
    <w:link w:val="Szvegtrzsbehzssal3"/>
    <w:uiPriority w:val="99"/>
    <w:rsid w:val="008A4DA1"/>
    <w:rPr>
      <w:rFonts w:ascii="Times New Roman" w:hAnsi="Times New Roman" w:cs="Times New Roman"/>
      <w:sz w:val="24"/>
      <w:szCs w:val="24"/>
    </w:rPr>
  </w:style>
  <w:style w:type="character" w:styleId="Lbjegyzet-hivatkozs">
    <w:name w:val="footnote reference"/>
    <w:aliases w:val="Footnote symbol,Times 10 Point,Exposant 3 Point,Footnote Reference Number,Voetnootverwijzing,Footnote reference number,note TESI,SUPERS,EN Footnote Reference,Ref,de nota al pie,Footnote number,callout"/>
    <w:basedOn w:val="Bekezdsalapbettpusa"/>
    <w:uiPriority w:val="99"/>
    <w:unhideWhenUsed/>
    <w:qFormat/>
    <w:rsid w:val="001720BD"/>
    <w:rPr>
      <w:vertAlign w:val="superscript"/>
    </w:rPr>
  </w:style>
  <w:style w:type="table" w:styleId="Tblzategyszer1">
    <w:name w:val="Plain Table 1"/>
    <w:basedOn w:val="Normltblzat"/>
    <w:uiPriority w:val="41"/>
    <w:rsid w:val="008258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3F5DF3"/>
    <w:pPr>
      <w:autoSpaceDE w:val="0"/>
      <w:autoSpaceDN w:val="0"/>
      <w:adjustRightInd w:val="0"/>
    </w:pPr>
    <w:rPr>
      <w:rFonts w:cs="Calibri"/>
      <w:color w:val="000000"/>
      <w:sz w:val="24"/>
      <w:szCs w:val="24"/>
    </w:rPr>
  </w:style>
  <w:style w:type="character" w:customStyle="1" w:styleId="cf01">
    <w:name w:val="cf01"/>
    <w:basedOn w:val="Bekezdsalapbettpusa"/>
    <w:rsid w:val="003168BA"/>
    <w:rPr>
      <w:rFonts w:ascii="Segoe UI" w:hAnsi="Segoe UI" w:cs="Segoe UI" w:hint="default"/>
      <w:sz w:val="18"/>
      <w:szCs w:val="18"/>
    </w:rPr>
  </w:style>
  <w:style w:type="paragraph" w:styleId="Szvegtrzs">
    <w:name w:val="Body Text"/>
    <w:basedOn w:val="Norml"/>
    <w:link w:val="SzvegtrzsChar"/>
    <w:uiPriority w:val="99"/>
    <w:unhideWhenUsed/>
    <w:rsid w:val="00E47912"/>
    <w:pPr>
      <w:spacing w:after="120"/>
    </w:pPr>
  </w:style>
  <w:style w:type="character" w:customStyle="1" w:styleId="SzvegtrzsChar">
    <w:name w:val="Szövegtörzs Char"/>
    <w:basedOn w:val="Bekezdsalapbettpusa"/>
    <w:link w:val="Szvegtrzs"/>
    <w:uiPriority w:val="99"/>
    <w:rsid w:val="00E47912"/>
  </w:style>
  <w:style w:type="paragraph" w:styleId="TJ4">
    <w:name w:val="toc 4"/>
    <w:basedOn w:val="Norml"/>
    <w:next w:val="Norml"/>
    <w:autoRedefine/>
    <w:uiPriority w:val="39"/>
    <w:unhideWhenUsed/>
    <w:locked/>
    <w:rsid w:val="008A63C7"/>
    <w:pPr>
      <w:spacing w:after="100" w:line="259" w:lineRule="auto"/>
      <w:ind w:left="660"/>
      <w:jc w:val="left"/>
    </w:pPr>
    <w:rPr>
      <w:rFonts w:asciiTheme="minorHAnsi" w:eastAsiaTheme="minorEastAsia" w:hAnsiTheme="minorHAnsi"/>
      <w:sz w:val="22"/>
      <w:szCs w:val="22"/>
    </w:rPr>
  </w:style>
  <w:style w:type="paragraph" w:styleId="TJ5">
    <w:name w:val="toc 5"/>
    <w:basedOn w:val="Norml"/>
    <w:next w:val="Norml"/>
    <w:autoRedefine/>
    <w:uiPriority w:val="39"/>
    <w:unhideWhenUsed/>
    <w:locked/>
    <w:rsid w:val="008A63C7"/>
    <w:pPr>
      <w:spacing w:after="100" w:line="259" w:lineRule="auto"/>
      <w:ind w:left="880"/>
      <w:jc w:val="left"/>
    </w:pPr>
    <w:rPr>
      <w:rFonts w:asciiTheme="minorHAnsi" w:eastAsiaTheme="minorEastAsia" w:hAnsiTheme="minorHAnsi"/>
      <w:sz w:val="22"/>
      <w:szCs w:val="22"/>
    </w:rPr>
  </w:style>
  <w:style w:type="paragraph" w:styleId="TJ6">
    <w:name w:val="toc 6"/>
    <w:basedOn w:val="Norml"/>
    <w:next w:val="Norml"/>
    <w:autoRedefine/>
    <w:uiPriority w:val="39"/>
    <w:unhideWhenUsed/>
    <w:locked/>
    <w:rsid w:val="008A63C7"/>
    <w:pPr>
      <w:spacing w:after="100" w:line="259" w:lineRule="auto"/>
      <w:ind w:left="1100"/>
      <w:jc w:val="left"/>
    </w:pPr>
    <w:rPr>
      <w:rFonts w:asciiTheme="minorHAnsi" w:eastAsiaTheme="minorEastAsia" w:hAnsiTheme="minorHAnsi"/>
      <w:sz w:val="22"/>
      <w:szCs w:val="22"/>
    </w:rPr>
  </w:style>
  <w:style w:type="character" w:styleId="Feloldatlanmegemlts">
    <w:name w:val="Unresolved Mention"/>
    <w:basedOn w:val="Bekezdsalapbettpusa"/>
    <w:uiPriority w:val="99"/>
    <w:semiHidden/>
    <w:unhideWhenUsed/>
    <w:rsid w:val="008A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83">
      <w:bodyDiv w:val="1"/>
      <w:marLeft w:val="0"/>
      <w:marRight w:val="0"/>
      <w:marTop w:val="0"/>
      <w:marBottom w:val="0"/>
      <w:divBdr>
        <w:top w:val="none" w:sz="0" w:space="0" w:color="auto"/>
        <w:left w:val="none" w:sz="0" w:space="0" w:color="auto"/>
        <w:bottom w:val="none" w:sz="0" w:space="0" w:color="auto"/>
        <w:right w:val="none" w:sz="0" w:space="0" w:color="auto"/>
      </w:divBdr>
    </w:div>
    <w:div w:id="6904151">
      <w:bodyDiv w:val="1"/>
      <w:marLeft w:val="0"/>
      <w:marRight w:val="0"/>
      <w:marTop w:val="0"/>
      <w:marBottom w:val="0"/>
      <w:divBdr>
        <w:top w:val="none" w:sz="0" w:space="0" w:color="auto"/>
        <w:left w:val="none" w:sz="0" w:space="0" w:color="auto"/>
        <w:bottom w:val="none" w:sz="0" w:space="0" w:color="auto"/>
        <w:right w:val="none" w:sz="0" w:space="0" w:color="auto"/>
      </w:divBdr>
    </w:div>
    <w:div w:id="61679408">
      <w:bodyDiv w:val="1"/>
      <w:marLeft w:val="0"/>
      <w:marRight w:val="0"/>
      <w:marTop w:val="0"/>
      <w:marBottom w:val="0"/>
      <w:divBdr>
        <w:top w:val="none" w:sz="0" w:space="0" w:color="auto"/>
        <w:left w:val="none" w:sz="0" w:space="0" w:color="auto"/>
        <w:bottom w:val="none" w:sz="0" w:space="0" w:color="auto"/>
        <w:right w:val="none" w:sz="0" w:space="0" w:color="auto"/>
      </w:divBdr>
    </w:div>
    <w:div w:id="82773555">
      <w:bodyDiv w:val="1"/>
      <w:marLeft w:val="0"/>
      <w:marRight w:val="0"/>
      <w:marTop w:val="0"/>
      <w:marBottom w:val="0"/>
      <w:divBdr>
        <w:top w:val="none" w:sz="0" w:space="0" w:color="auto"/>
        <w:left w:val="none" w:sz="0" w:space="0" w:color="auto"/>
        <w:bottom w:val="none" w:sz="0" w:space="0" w:color="auto"/>
        <w:right w:val="none" w:sz="0" w:space="0" w:color="auto"/>
      </w:divBdr>
    </w:div>
    <w:div w:id="134614257">
      <w:bodyDiv w:val="1"/>
      <w:marLeft w:val="0"/>
      <w:marRight w:val="0"/>
      <w:marTop w:val="0"/>
      <w:marBottom w:val="0"/>
      <w:divBdr>
        <w:top w:val="none" w:sz="0" w:space="0" w:color="auto"/>
        <w:left w:val="none" w:sz="0" w:space="0" w:color="auto"/>
        <w:bottom w:val="none" w:sz="0" w:space="0" w:color="auto"/>
        <w:right w:val="none" w:sz="0" w:space="0" w:color="auto"/>
      </w:divBdr>
    </w:div>
    <w:div w:id="138156185">
      <w:bodyDiv w:val="1"/>
      <w:marLeft w:val="0"/>
      <w:marRight w:val="0"/>
      <w:marTop w:val="0"/>
      <w:marBottom w:val="0"/>
      <w:divBdr>
        <w:top w:val="none" w:sz="0" w:space="0" w:color="auto"/>
        <w:left w:val="none" w:sz="0" w:space="0" w:color="auto"/>
        <w:bottom w:val="none" w:sz="0" w:space="0" w:color="auto"/>
        <w:right w:val="none" w:sz="0" w:space="0" w:color="auto"/>
      </w:divBdr>
    </w:div>
    <w:div w:id="156532633">
      <w:bodyDiv w:val="1"/>
      <w:marLeft w:val="0"/>
      <w:marRight w:val="0"/>
      <w:marTop w:val="0"/>
      <w:marBottom w:val="0"/>
      <w:divBdr>
        <w:top w:val="none" w:sz="0" w:space="0" w:color="auto"/>
        <w:left w:val="none" w:sz="0" w:space="0" w:color="auto"/>
        <w:bottom w:val="none" w:sz="0" w:space="0" w:color="auto"/>
        <w:right w:val="none" w:sz="0" w:space="0" w:color="auto"/>
      </w:divBdr>
    </w:div>
    <w:div w:id="227150830">
      <w:bodyDiv w:val="1"/>
      <w:marLeft w:val="0"/>
      <w:marRight w:val="0"/>
      <w:marTop w:val="0"/>
      <w:marBottom w:val="0"/>
      <w:divBdr>
        <w:top w:val="none" w:sz="0" w:space="0" w:color="auto"/>
        <w:left w:val="none" w:sz="0" w:space="0" w:color="auto"/>
        <w:bottom w:val="none" w:sz="0" w:space="0" w:color="auto"/>
        <w:right w:val="none" w:sz="0" w:space="0" w:color="auto"/>
      </w:divBdr>
    </w:div>
    <w:div w:id="228273690">
      <w:bodyDiv w:val="1"/>
      <w:marLeft w:val="0"/>
      <w:marRight w:val="0"/>
      <w:marTop w:val="0"/>
      <w:marBottom w:val="0"/>
      <w:divBdr>
        <w:top w:val="none" w:sz="0" w:space="0" w:color="auto"/>
        <w:left w:val="none" w:sz="0" w:space="0" w:color="auto"/>
        <w:bottom w:val="none" w:sz="0" w:space="0" w:color="auto"/>
        <w:right w:val="none" w:sz="0" w:space="0" w:color="auto"/>
      </w:divBdr>
    </w:div>
    <w:div w:id="248659655">
      <w:bodyDiv w:val="1"/>
      <w:marLeft w:val="0"/>
      <w:marRight w:val="0"/>
      <w:marTop w:val="0"/>
      <w:marBottom w:val="0"/>
      <w:divBdr>
        <w:top w:val="none" w:sz="0" w:space="0" w:color="auto"/>
        <w:left w:val="none" w:sz="0" w:space="0" w:color="auto"/>
        <w:bottom w:val="none" w:sz="0" w:space="0" w:color="auto"/>
        <w:right w:val="none" w:sz="0" w:space="0" w:color="auto"/>
      </w:divBdr>
    </w:div>
    <w:div w:id="272517335">
      <w:bodyDiv w:val="1"/>
      <w:marLeft w:val="0"/>
      <w:marRight w:val="0"/>
      <w:marTop w:val="0"/>
      <w:marBottom w:val="0"/>
      <w:divBdr>
        <w:top w:val="none" w:sz="0" w:space="0" w:color="auto"/>
        <w:left w:val="none" w:sz="0" w:space="0" w:color="auto"/>
        <w:bottom w:val="none" w:sz="0" w:space="0" w:color="auto"/>
        <w:right w:val="none" w:sz="0" w:space="0" w:color="auto"/>
      </w:divBdr>
    </w:div>
    <w:div w:id="277760394">
      <w:bodyDiv w:val="1"/>
      <w:marLeft w:val="0"/>
      <w:marRight w:val="0"/>
      <w:marTop w:val="0"/>
      <w:marBottom w:val="0"/>
      <w:divBdr>
        <w:top w:val="none" w:sz="0" w:space="0" w:color="auto"/>
        <w:left w:val="none" w:sz="0" w:space="0" w:color="auto"/>
        <w:bottom w:val="none" w:sz="0" w:space="0" w:color="auto"/>
        <w:right w:val="none" w:sz="0" w:space="0" w:color="auto"/>
      </w:divBdr>
    </w:div>
    <w:div w:id="281347495">
      <w:bodyDiv w:val="1"/>
      <w:marLeft w:val="0"/>
      <w:marRight w:val="0"/>
      <w:marTop w:val="0"/>
      <w:marBottom w:val="0"/>
      <w:divBdr>
        <w:top w:val="none" w:sz="0" w:space="0" w:color="auto"/>
        <w:left w:val="none" w:sz="0" w:space="0" w:color="auto"/>
        <w:bottom w:val="none" w:sz="0" w:space="0" w:color="auto"/>
        <w:right w:val="none" w:sz="0" w:space="0" w:color="auto"/>
      </w:divBdr>
    </w:div>
    <w:div w:id="432559318">
      <w:bodyDiv w:val="1"/>
      <w:marLeft w:val="0"/>
      <w:marRight w:val="0"/>
      <w:marTop w:val="0"/>
      <w:marBottom w:val="0"/>
      <w:divBdr>
        <w:top w:val="none" w:sz="0" w:space="0" w:color="auto"/>
        <w:left w:val="none" w:sz="0" w:space="0" w:color="auto"/>
        <w:bottom w:val="none" w:sz="0" w:space="0" w:color="auto"/>
        <w:right w:val="none" w:sz="0" w:space="0" w:color="auto"/>
      </w:divBdr>
    </w:div>
    <w:div w:id="432674769">
      <w:bodyDiv w:val="1"/>
      <w:marLeft w:val="0"/>
      <w:marRight w:val="0"/>
      <w:marTop w:val="0"/>
      <w:marBottom w:val="0"/>
      <w:divBdr>
        <w:top w:val="none" w:sz="0" w:space="0" w:color="auto"/>
        <w:left w:val="none" w:sz="0" w:space="0" w:color="auto"/>
        <w:bottom w:val="none" w:sz="0" w:space="0" w:color="auto"/>
        <w:right w:val="none" w:sz="0" w:space="0" w:color="auto"/>
      </w:divBdr>
    </w:div>
    <w:div w:id="465634479">
      <w:bodyDiv w:val="1"/>
      <w:marLeft w:val="0"/>
      <w:marRight w:val="0"/>
      <w:marTop w:val="0"/>
      <w:marBottom w:val="0"/>
      <w:divBdr>
        <w:top w:val="none" w:sz="0" w:space="0" w:color="auto"/>
        <w:left w:val="none" w:sz="0" w:space="0" w:color="auto"/>
        <w:bottom w:val="none" w:sz="0" w:space="0" w:color="auto"/>
        <w:right w:val="none" w:sz="0" w:space="0" w:color="auto"/>
      </w:divBdr>
    </w:div>
    <w:div w:id="471095092">
      <w:bodyDiv w:val="1"/>
      <w:marLeft w:val="0"/>
      <w:marRight w:val="0"/>
      <w:marTop w:val="0"/>
      <w:marBottom w:val="0"/>
      <w:divBdr>
        <w:top w:val="none" w:sz="0" w:space="0" w:color="auto"/>
        <w:left w:val="none" w:sz="0" w:space="0" w:color="auto"/>
        <w:bottom w:val="none" w:sz="0" w:space="0" w:color="auto"/>
        <w:right w:val="none" w:sz="0" w:space="0" w:color="auto"/>
      </w:divBdr>
    </w:div>
    <w:div w:id="480465340">
      <w:bodyDiv w:val="1"/>
      <w:marLeft w:val="0"/>
      <w:marRight w:val="0"/>
      <w:marTop w:val="0"/>
      <w:marBottom w:val="0"/>
      <w:divBdr>
        <w:top w:val="none" w:sz="0" w:space="0" w:color="auto"/>
        <w:left w:val="none" w:sz="0" w:space="0" w:color="auto"/>
        <w:bottom w:val="none" w:sz="0" w:space="0" w:color="auto"/>
        <w:right w:val="none" w:sz="0" w:space="0" w:color="auto"/>
      </w:divBdr>
    </w:div>
    <w:div w:id="483741622">
      <w:bodyDiv w:val="1"/>
      <w:marLeft w:val="0"/>
      <w:marRight w:val="0"/>
      <w:marTop w:val="0"/>
      <w:marBottom w:val="0"/>
      <w:divBdr>
        <w:top w:val="none" w:sz="0" w:space="0" w:color="auto"/>
        <w:left w:val="none" w:sz="0" w:space="0" w:color="auto"/>
        <w:bottom w:val="none" w:sz="0" w:space="0" w:color="auto"/>
        <w:right w:val="none" w:sz="0" w:space="0" w:color="auto"/>
      </w:divBdr>
    </w:div>
    <w:div w:id="509563873">
      <w:bodyDiv w:val="1"/>
      <w:marLeft w:val="0"/>
      <w:marRight w:val="0"/>
      <w:marTop w:val="0"/>
      <w:marBottom w:val="0"/>
      <w:divBdr>
        <w:top w:val="none" w:sz="0" w:space="0" w:color="auto"/>
        <w:left w:val="none" w:sz="0" w:space="0" w:color="auto"/>
        <w:bottom w:val="none" w:sz="0" w:space="0" w:color="auto"/>
        <w:right w:val="none" w:sz="0" w:space="0" w:color="auto"/>
      </w:divBdr>
    </w:div>
    <w:div w:id="522324816">
      <w:bodyDiv w:val="1"/>
      <w:marLeft w:val="0"/>
      <w:marRight w:val="0"/>
      <w:marTop w:val="0"/>
      <w:marBottom w:val="0"/>
      <w:divBdr>
        <w:top w:val="none" w:sz="0" w:space="0" w:color="auto"/>
        <w:left w:val="none" w:sz="0" w:space="0" w:color="auto"/>
        <w:bottom w:val="none" w:sz="0" w:space="0" w:color="auto"/>
        <w:right w:val="none" w:sz="0" w:space="0" w:color="auto"/>
      </w:divBdr>
    </w:div>
    <w:div w:id="536313052">
      <w:bodyDiv w:val="1"/>
      <w:marLeft w:val="0"/>
      <w:marRight w:val="0"/>
      <w:marTop w:val="0"/>
      <w:marBottom w:val="0"/>
      <w:divBdr>
        <w:top w:val="none" w:sz="0" w:space="0" w:color="auto"/>
        <w:left w:val="none" w:sz="0" w:space="0" w:color="auto"/>
        <w:bottom w:val="none" w:sz="0" w:space="0" w:color="auto"/>
        <w:right w:val="none" w:sz="0" w:space="0" w:color="auto"/>
      </w:divBdr>
    </w:div>
    <w:div w:id="544297624">
      <w:bodyDiv w:val="1"/>
      <w:marLeft w:val="0"/>
      <w:marRight w:val="0"/>
      <w:marTop w:val="0"/>
      <w:marBottom w:val="0"/>
      <w:divBdr>
        <w:top w:val="none" w:sz="0" w:space="0" w:color="auto"/>
        <w:left w:val="none" w:sz="0" w:space="0" w:color="auto"/>
        <w:bottom w:val="none" w:sz="0" w:space="0" w:color="auto"/>
        <w:right w:val="none" w:sz="0" w:space="0" w:color="auto"/>
      </w:divBdr>
    </w:div>
    <w:div w:id="555776815">
      <w:bodyDiv w:val="1"/>
      <w:marLeft w:val="0"/>
      <w:marRight w:val="0"/>
      <w:marTop w:val="0"/>
      <w:marBottom w:val="0"/>
      <w:divBdr>
        <w:top w:val="none" w:sz="0" w:space="0" w:color="auto"/>
        <w:left w:val="none" w:sz="0" w:space="0" w:color="auto"/>
        <w:bottom w:val="none" w:sz="0" w:space="0" w:color="auto"/>
        <w:right w:val="none" w:sz="0" w:space="0" w:color="auto"/>
      </w:divBdr>
    </w:div>
    <w:div w:id="608977216">
      <w:bodyDiv w:val="1"/>
      <w:marLeft w:val="0"/>
      <w:marRight w:val="0"/>
      <w:marTop w:val="0"/>
      <w:marBottom w:val="0"/>
      <w:divBdr>
        <w:top w:val="none" w:sz="0" w:space="0" w:color="auto"/>
        <w:left w:val="none" w:sz="0" w:space="0" w:color="auto"/>
        <w:bottom w:val="none" w:sz="0" w:space="0" w:color="auto"/>
        <w:right w:val="none" w:sz="0" w:space="0" w:color="auto"/>
      </w:divBdr>
    </w:div>
    <w:div w:id="623655005">
      <w:bodyDiv w:val="1"/>
      <w:marLeft w:val="0"/>
      <w:marRight w:val="0"/>
      <w:marTop w:val="0"/>
      <w:marBottom w:val="0"/>
      <w:divBdr>
        <w:top w:val="none" w:sz="0" w:space="0" w:color="auto"/>
        <w:left w:val="none" w:sz="0" w:space="0" w:color="auto"/>
        <w:bottom w:val="none" w:sz="0" w:space="0" w:color="auto"/>
        <w:right w:val="none" w:sz="0" w:space="0" w:color="auto"/>
      </w:divBdr>
    </w:div>
    <w:div w:id="631181178">
      <w:bodyDiv w:val="1"/>
      <w:marLeft w:val="0"/>
      <w:marRight w:val="0"/>
      <w:marTop w:val="0"/>
      <w:marBottom w:val="0"/>
      <w:divBdr>
        <w:top w:val="none" w:sz="0" w:space="0" w:color="auto"/>
        <w:left w:val="none" w:sz="0" w:space="0" w:color="auto"/>
        <w:bottom w:val="none" w:sz="0" w:space="0" w:color="auto"/>
        <w:right w:val="none" w:sz="0" w:space="0" w:color="auto"/>
      </w:divBdr>
    </w:div>
    <w:div w:id="634916357">
      <w:bodyDiv w:val="1"/>
      <w:marLeft w:val="0"/>
      <w:marRight w:val="0"/>
      <w:marTop w:val="0"/>
      <w:marBottom w:val="0"/>
      <w:divBdr>
        <w:top w:val="none" w:sz="0" w:space="0" w:color="auto"/>
        <w:left w:val="none" w:sz="0" w:space="0" w:color="auto"/>
        <w:bottom w:val="none" w:sz="0" w:space="0" w:color="auto"/>
        <w:right w:val="none" w:sz="0" w:space="0" w:color="auto"/>
      </w:divBdr>
    </w:div>
    <w:div w:id="665207876">
      <w:bodyDiv w:val="1"/>
      <w:marLeft w:val="0"/>
      <w:marRight w:val="0"/>
      <w:marTop w:val="0"/>
      <w:marBottom w:val="0"/>
      <w:divBdr>
        <w:top w:val="none" w:sz="0" w:space="0" w:color="auto"/>
        <w:left w:val="none" w:sz="0" w:space="0" w:color="auto"/>
        <w:bottom w:val="none" w:sz="0" w:space="0" w:color="auto"/>
        <w:right w:val="none" w:sz="0" w:space="0" w:color="auto"/>
      </w:divBdr>
    </w:div>
    <w:div w:id="670645879">
      <w:bodyDiv w:val="1"/>
      <w:marLeft w:val="0"/>
      <w:marRight w:val="0"/>
      <w:marTop w:val="0"/>
      <w:marBottom w:val="0"/>
      <w:divBdr>
        <w:top w:val="none" w:sz="0" w:space="0" w:color="auto"/>
        <w:left w:val="none" w:sz="0" w:space="0" w:color="auto"/>
        <w:bottom w:val="none" w:sz="0" w:space="0" w:color="auto"/>
        <w:right w:val="none" w:sz="0" w:space="0" w:color="auto"/>
      </w:divBdr>
    </w:div>
    <w:div w:id="710809014">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22755495">
      <w:bodyDiv w:val="1"/>
      <w:marLeft w:val="0"/>
      <w:marRight w:val="0"/>
      <w:marTop w:val="0"/>
      <w:marBottom w:val="0"/>
      <w:divBdr>
        <w:top w:val="none" w:sz="0" w:space="0" w:color="auto"/>
        <w:left w:val="none" w:sz="0" w:space="0" w:color="auto"/>
        <w:bottom w:val="none" w:sz="0" w:space="0" w:color="auto"/>
        <w:right w:val="none" w:sz="0" w:space="0" w:color="auto"/>
      </w:divBdr>
    </w:div>
    <w:div w:id="723481919">
      <w:bodyDiv w:val="1"/>
      <w:marLeft w:val="0"/>
      <w:marRight w:val="0"/>
      <w:marTop w:val="0"/>
      <w:marBottom w:val="0"/>
      <w:divBdr>
        <w:top w:val="none" w:sz="0" w:space="0" w:color="auto"/>
        <w:left w:val="none" w:sz="0" w:space="0" w:color="auto"/>
        <w:bottom w:val="none" w:sz="0" w:space="0" w:color="auto"/>
        <w:right w:val="none" w:sz="0" w:space="0" w:color="auto"/>
      </w:divBdr>
    </w:div>
    <w:div w:id="723600081">
      <w:bodyDiv w:val="1"/>
      <w:marLeft w:val="0"/>
      <w:marRight w:val="0"/>
      <w:marTop w:val="0"/>
      <w:marBottom w:val="0"/>
      <w:divBdr>
        <w:top w:val="none" w:sz="0" w:space="0" w:color="auto"/>
        <w:left w:val="none" w:sz="0" w:space="0" w:color="auto"/>
        <w:bottom w:val="none" w:sz="0" w:space="0" w:color="auto"/>
        <w:right w:val="none" w:sz="0" w:space="0" w:color="auto"/>
      </w:divBdr>
    </w:div>
    <w:div w:id="753169181">
      <w:bodyDiv w:val="1"/>
      <w:marLeft w:val="0"/>
      <w:marRight w:val="0"/>
      <w:marTop w:val="0"/>
      <w:marBottom w:val="0"/>
      <w:divBdr>
        <w:top w:val="none" w:sz="0" w:space="0" w:color="auto"/>
        <w:left w:val="none" w:sz="0" w:space="0" w:color="auto"/>
        <w:bottom w:val="none" w:sz="0" w:space="0" w:color="auto"/>
        <w:right w:val="none" w:sz="0" w:space="0" w:color="auto"/>
      </w:divBdr>
    </w:div>
    <w:div w:id="767386900">
      <w:bodyDiv w:val="1"/>
      <w:marLeft w:val="0"/>
      <w:marRight w:val="0"/>
      <w:marTop w:val="0"/>
      <w:marBottom w:val="0"/>
      <w:divBdr>
        <w:top w:val="none" w:sz="0" w:space="0" w:color="auto"/>
        <w:left w:val="none" w:sz="0" w:space="0" w:color="auto"/>
        <w:bottom w:val="none" w:sz="0" w:space="0" w:color="auto"/>
        <w:right w:val="none" w:sz="0" w:space="0" w:color="auto"/>
      </w:divBdr>
    </w:div>
    <w:div w:id="815726700">
      <w:bodyDiv w:val="1"/>
      <w:marLeft w:val="0"/>
      <w:marRight w:val="0"/>
      <w:marTop w:val="0"/>
      <w:marBottom w:val="0"/>
      <w:divBdr>
        <w:top w:val="none" w:sz="0" w:space="0" w:color="auto"/>
        <w:left w:val="none" w:sz="0" w:space="0" w:color="auto"/>
        <w:bottom w:val="none" w:sz="0" w:space="0" w:color="auto"/>
        <w:right w:val="none" w:sz="0" w:space="0" w:color="auto"/>
      </w:divBdr>
    </w:div>
    <w:div w:id="820775383">
      <w:bodyDiv w:val="1"/>
      <w:marLeft w:val="0"/>
      <w:marRight w:val="0"/>
      <w:marTop w:val="0"/>
      <w:marBottom w:val="0"/>
      <w:divBdr>
        <w:top w:val="none" w:sz="0" w:space="0" w:color="auto"/>
        <w:left w:val="none" w:sz="0" w:space="0" w:color="auto"/>
        <w:bottom w:val="none" w:sz="0" w:space="0" w:color="auto"/>
        <w:right w:val="none" w:sz="0" w:space="0" w:color="auto"/>
      </w:divBdr>
    </w:div>
    <w:div w:id="869028367">
      <w:bodyDiv w:val="1"/>
      <w:marLeft w:val="0"/>
      <w:marRight w:val="0"/>
      <w:marTop w:val="0"/>
      <w:marBottom w:val="0"/>
      <w:divBdr>
        <w:top w:val="none" w:sz="0" w:space="0" w:color="auto"/>
        <w:left w:val="none" w:sz="0" w:space="0" w:color="auto"/>
        <w:bottom w:val="none" w:sz="0" w:space="0" w:color="auto"/>
        <w:right w:val="none" w:sz="0" w:space="0" w:color="auto"/>
      </w:divBdr>
    </w:div>
    <w:div w:id="870992443">
      <w:bodyDiv w:val="1"/>
      <w:marLeft w:val="0"/>
      <w:marRight w:val="0"/>
      <w:marTop w:val="0"/>
      <w:marBottom w:val="0"/>
      <w:divBdr>
        <w:top w:val="none" w:sz="0" w:space="0" w:color="auto"/>
        <w:left w:val="none" w:sz="0" w:space="0" w:color="auto"/>
        <w:bottom w:val="none" w:sz="0" w:space="0" w:color="auto"/>
        <w:right w:val="none" w:sz="0" w:space="0" w:color="auto"/>
      </w:divBdr>
    </w:div>
    <w:div w:id="952057811">
      <w:bodyDiv w:val="1"/>
      <w:marLeft w:val="0"/>
      <w:marRight w:val="0"/>
      <w:marTop w:val="0"/>
      <w:marBottom w:val="0"/>
      <w:divBdr>
        <w:top w:val="none" w:sz="0" w:space="0" w:color="auto"/>
        <w:left w:val="none" w:sz="0" w:space="0" w:color="auto"/>
        <w:bottom w:val="none" w:sz="0" w:space="0" w:color="auto"/>
        <w:right w:val="none" w:sz="0" w:space="0" w:color="auto"/>
      </w:divBdr>
    </w:div>
    <w:div w:id="972292894">
      <w:bodyDiv w:val="1"/>
      <w:marLeft w:val="0"/>
      <w:marRight w:val="0"/>
      <w:marTop w:val="0"/>
      <w:marBottom w:val="0"/>
      <w:divBdr>
        <w:top w:val="none" w:sz="0" w:space="0" w:color="auto"/>
        <w:left w:val="none" w:sz="0" w:space="0" w:color="auto"/>
        <w:bottom w:val="none" w:sz="0" w:space="0" w:color="auto"/>
        <w:right w:val="none" w:sz="0" w:space="0" w:color="auto"/>
      </w:divBdr>
    </w:div>
    <w:div w:id="1041439681">
      <w:bodyDiv w:val="1"/>
      <w:marLeft w:val="0"/>
      <w:marRight w:val="0"/>
      <w:marTop w:val="0"/>
      <w:marBottom w:val="0"/>
      <w:divBdr>
        <w:top w:val="none" w:sz="0" w:space="0" w:color="auto"/>
        <w:left w:val="none" w:sz="0" w:space="0" w:color="auto"/>
        <w:bottom w:val="none" w:sz="0" w:space="0" w:color="auto"/>
        <w:right w:val="none" w:sz="0" w:space="0" w:color="auto"/>
      </w:divBdr>
    </w:div>
    <w:div w:id="1073161517">
      <w:bodyDiv w:val="1"/>
      <w:marLeft w:val="0"/>
      <w:marRight w:val="0"/>
      <w:marTop w:val="0"/>
      <w:marBottom w:val="0"/>
      <w:divBdr>
        <w:top w:val="none" w:sz="0" w:space="0" w:color="auto"/>
        <w:left w:val="none" w:sz="0" w:space="0" w:color="auto"/>
        <w:bottom w:val="none" w:sz="0" w:space="0" w:color="auto"/>
        <w:right w:val="none" w:sz="0" w:space="0" w:color="auto"/>
      </w:divBdr>
    </w:div>
    <w:div w:id="1075591931">
      <w:bodyDiv w:val="1"/>
      <w:marLeft w:val="0"/>
      <w:marRight w:val="0"/>
      <w:marTop w:val="0"/>
      <w:marBottom w:val="0"/>
      <w:divBdr>
        <w:top w:val="none" w:sz="0" w:space="0" w:color="auto"/>
        <w:left w:val="none" w:sz="0" w:space="0" w:color="auto"/>
        <w:bottom w:val="none" w:sz="0" w:space="0" w:color="auto"/>
        <w:right w:val="none" w:sz="0" w:space="0" w:color="auto"/>
      </w:divBdr>
    </w:div>
    <w:div w:id="1075661397">
      <w:bodyDiv w:val="1"/>
      <w:marLeft w:val="0"/>
      <w:marRight w:val="0"/>
      <w:marTop w:val="0"/>
      <w:marBottom w:val="0"/>
      <w:divBdr>
        <w:top w:val="none" w:sz="0" w:space="0" w:color="auto"/>
        <w:left w:val="none" w:sz="0" w:space="0" w:color="auto"/>
        <w:bottom w:val="none" w:sz="0" w:space="0" w:color="auto"/>
        <w:right w:val="none" w:sz="0" w:space="0" w:color="auto"/>
      </w:divBdr>
    </w:div>
    <w:div w:id="1089817012">
      <w:bodyDiv w:val="1"/>
      <w:marLeft w:val="0"/>
      <w:marRight w:val="0"/>
      <w:marTop w:val="0"/>
      <w:marBottom w:val="0"/>
      <w:divBdr>
        <w:top w:val="none" w:sz="0" w:space="0" w:color="auto"/>
        <w:left w:val="none" w:sz="0" w:space="0" w:color="auto"/>
        <w:bottom w:val="none" w:sz="0" w:space="0" w:color="auto"/>
        <w:right w:val="none" w:sz="0" w:space="0" w:color="auto"/>
      </w:divBdr>
    </w:div>
    <w:div w:id="1096631514">
      <w:bodyDiv w:val="1"/>
      <w:marLeft w:val="0"/>
      <w:marRight w:val="0"/>
      <w:marTop w:val="0"/>
      <w:marBottom w:val="0"/>
      <w:divBdr>
        <w:top w:val="none" w:sz="0" w:space="0" w:color="auto"/>
        <w:left w:val="none" w:sz="0" w:space="0" w:color="auto"/>
        <w:bottom w:val="none" w:sz="0" w:space="0" w:color="auto"/>
        <w:right w:val="none" w:sz="0" w:space="0" w:color="auto"/>
      </w:divBdr>
    </w:div>
    <w:div w:id="1109006466">
      <w:bodyDiv w:val="1"/>
      <w:marLeft w:val="0"/>
      <w:marRight w:val="0"/>
      <w:marTop w:val="0"/>
      <w:marBottom w:val="0"/>
      <w:divBdr>
        <w:top w:val="none" w:sz="0" w:space="0" w:color="auto"/>
        <w:left w:val="none" w:sz="0" w:space="0" w:color="auto"/>
        <w:bottom w:val="none" w:sz="0" w:space="0" w:color="auto"/>
        <w:right w:val="none" w:sz="0" w:space="0" w:color="auto"/>
      </w:divBdr>
    </w:div>
    <w:div w:id="1136988426">
      <w:bodyDiv w:val="1"/>
      <w:marLeft w:val="0"/>
      <w:marRight w:val="0"/>
      <w:marTop w:val="0"/>
      <w:marBottom w:val="0"/>
      <w:divBdr>
        <w:top w:val="none" w:sz="0" w:space="0" w:color="auto"/>
        <w:left w:val="none" w:sz="0" w:space="0" w:color="auto"/>
        <w:bottom w:val="none" w:sz="0" w:space="0" w:color="auto"/>
        <w:right w:val="none" w:sz="0" w:space="0" w:color="auto"/>
      </w:divBdr>
    </w:div>
    <w:div w:id="1175413704">
      <w:bodyDiv w:val="1"/>
      <w:marLeft w:val="0"/>
      <w:marRight w:val="0"/>
      <w:marTop w:val="0"/>
      <w:marBottom w:val="0"/>
      <w:divBdr>
        <w:top w:val="none" w:sz="0" w:space="0" w:color="auto"/>
        <w:left w:val="none" w:sz="0" w:space="0" w:color="auto"/>
        <w:bottom w:val="none" w:sz="0" w:space="0" w:color="auto"/>
        <w:right w:val="none" w:sz="0" w:space="0" w:color="auto"/>
      </w:divBdr>
    </w:div>
    <w:div w:id="1180462114">
      <w:bodyDiv w:val="1"/>
      <w:marLeft w:val="0"/>
      <w:marRight w:val="0"/>
      <w:marTop w:val="0"/>
      <w:marBottom w:val="0"/>
      <w:divBdr>
        <w:top w:val="none" w:sz="0" w:space="0" w:color="auto"/>
        <w:left w:val="none" w:sz="0" w:space="0" w:color="auto"/>
        <w:bottom w:val="none" w:sz="0" w:space="0" w:color="auto"/>
        <w:right w:val="none" w:sz="0" w:space="0" w:color="auto"/>
      </w:divBdr>
    </w:div>
    <w:div w:id="1182547670">
      <w:bodyDiv w:val="1"/>
      <w:marLeft w:val="0"/>
      <w:marRight w:val="0"/>
      <w:marTop w:val="0"/>
      <w:marBottom w:val="0"/>
      <w:divBdr>
        <w:top w:val="none" w:sz="0" w:space="0" w:color="auto"/>
        <w:left w:val="none" w:sz="0" w:space="0" w:color="auto"/>
        <w:bottom w:val="none" w:sz="0" w:space="0" w:color="auto"/>
        <w:right w:val="none" w:sz="0" w:space="0" w:color="auto"/>
      </w:divBdr>
    </w:div>
    <w:div w:id="1187140631">
      <w:bodyDiv w:val="1"/>
      <w:marLeft w:val="0"/>
      <w:marRight w:val="0"/>
      <w:marTop w:val="0"/>
      <w:marBottom w:val="0"/>
      <w:divBdr>
        <w:top w:val="none" w:sz="0" w:space="0" w:color="auto"/>
        <w:left w:val="none" w:sz="0" w:space="0" w:color="auto"/>
        <w:bottom w:val="none" w:sz="0" w:space="0" w:color="auto"/>
        <w:right w:val="none" w:sz="0" w:space="0" w:color="auto"/>
      </w:divBdr>
    </w:div>
    <w:div w:id="1239827387">
      <w:bodyDiv w:val="1"/>
      <w:marLeft w:val="0"/>
      <w:marRight w:val="0"/>
      <w:marTop w:val="0"/>
      <w:marBottom w:val="0"/>
      <w:divBdr>
        <w:top w:val="none" w:sz="0" w:space="0" w:color="auto"/>
        <w:left w:val="none" w:sz="0" w:space="0" w:color="auto"/>
        <w:bottom w:val="none" w:sz="0" w:space="0" w:color="auto"/>
        <w:right w:val="none" w:sz="0" w:space="0" w:color="auto"/>
      </w:divBdr>
    </w:div>
    <w:div w:id="1267271171">
      <w:bodyDiv w:val="1"/>
      <w:marLeft w:val="0"/>
      <w:marRight w:val="0"/>
      <w:marTop w:val="0"/>
      <w:marBottom w:val="0"/>
      <w:divBdr>
        <w:top w:val="none" w:sz="0" w:space="0" w:color="auto"/>
        <w:left w:val="none" w:sz="0" w:space="0" w:color="auto"/>
        <w:bottom w:val="none" w:sz="0" w:space="0" w:color="auto"/>
        <w:right w:val="none" w:sz="0" w:space="0" w:color="auto"/>
      </w:divBdr>
    </w:div>
    <w:div w:id="1276866487">
      <w:bodyDiv w:val="1"/>
      <w:marLeft w:val="0"/>
      <w:marRight w:val="0"/>
      <w:marTop w:val="0"/>
      <w:marBottom w:val="0"/>
      <w:divBdr>
        <w:top w:val="none" w:sz="0" w:space="0" w:color="auto"/>
        <w:left w:val="none" w:sz="0" w:space="0" w:color="auto"/>
        <w:bottom w:val="none" w:sz="0" w:space="0" w:color="auto"/>
        <w:right w:val="none" w:sz="0" w:space="0" w:color="auto"/>
      </w:divBdr>
    </w:div>
    <w:div w:id="1291671382">
      <w:bodyDiv w:val="1"/>
      <w:marLeft w:val="0"/>
      <w:marRight w:val="0"/>
      <w:marTop w:val="0"/>
      <w:marBottom w:val="0"/>
      <w:divBdr>
        <w:top w:val="none" w:sz="0" w:space="0" w:color="auto"/>
        <w:left w:val="none" w:sz="0" w:space="0" w:color="auto"/>
        <w:bottom w:val="none" w:sz="0" w:space="0" w:color="auto"/>
        <w:right w:val="none" w:sz="0" w:space="0" w:color="auto"/>
      </w:divBdr>
    </w:div>
    <w:div w:id="1303198457">
      <w:bodyDiv w:val="1"/>
      <w:marLeft w:val="0"/>
      <w:marRight w:val="0"/>
      <w:marTop w:val="0"/>
      <w:marBottom w:val="0"/>
      <w:divBdr>
        <w:top w:val="none" w:sz="0" w:space="0" w:color="auto"/>
        <w:left w:val="none" w:sz="0" w:space="0" w:color="auto"/>
        <w:bottom w:val="none" w:sz="0" w:space="0" w:color="auto"/>
        <w:right w:val="none" w:sz="0" w:space="0" w:color="auto"/>
      </w:divBdr>
    </w:div>
    <w:div w:id="1330988360">
      <w:bodyDiv w:val="1"/>
      <w:marLeft w:val="0"/>
      <w:marRight w:val="0"/>
      <w:marTop w:val="0"/>
      <w:marBottom w:val="0"/>
      <w:divBdr>
        <w:top w:val="none" w:sz="0" w:space="0" w:color="auto"/>
        <w:left w:val="none" w:sz="0" w:space="0" w:color="auto"/>
        <w:bottom w:val="none" w:sz="0" w:space="0" w:color="auto"/>
        <w:right w:val="none" w:sz="0" w:space="0" w:color="auto"/>
      </w:divBdr>
    </w:div>
    <w:div w:id="1341351153">
      <w:bodyDiv w:val="1"/>
      <w:marLeft w:val="0"/>
      <w:marRight w:val="0"/>
      <w:marTop w:val="0"/>
      <w:marBottom w:val="0"/>
      <w:divBdr>
        <w:top w:val="none" w:sz="0" w:space="0" w:color="auto"/>
        <w:left w:val="none" w:sz="0" w:space="0" w:color="auto"/>
        <w:bottom w:val="none" w:sz="0" w:space="0" w:color="auto"/>
        <w:right w:val="none" w:sz="0" w:space="0" w:color="auto"/>
      </w:divBdr>
    </w:div>
    <w:div w:id="1364359158">
      <w:bodyDiv w:val="1"/>
      <w:marLeft w:val="0"/>
      <w:marRight w:val="0"/>
      <w:marTop w:val="0"/>
      <w:marBottom w:val="0"/>
      <w:divBdr>
        <w:top w:val="none" w:sz="0" w:space="0" w:color="auto"/>
        <w:left w:val="none" w:sz="0" w:space="0" w:color="auto"/>
        <w:bottom w:val="none" w:sz="0" w:space="0" w:color="auto"/>
        <w:right w:val="none" w:sz="0" w:space="0" w:color="auto"/>
      </w:divBdr>
    </w:div>
    <w:div w:id="1370909378">
      <w:bodyDiv w:val="1"/>
      <w:marLeft w:val="0"/>
      <w:marRight w:val="0"/>
      <w:marTop w:val="0"/>
      <w:marBottom w:val="0"/>
      <w:divBdr>
        <w:top w:val="none" w:sz="0" w:space="0" w:color="auto"/>
        <w:left w:val="none" w:sz="0" w:space="0" w:color="auto"/>
        <w:bottom w:val="none" w:sz="0" w:space="0" w:color="auto"/>
        <w:right w:val="none" w:sz="0" w:space="0" w:color="auto"/>
      </w:divBdr>
    </w:div>
    <w:div w:id="1388843061">
      <w:bodyDiv w:val="1"/>
      <w:marLeft w:val="0"/>
      <w:marRight w:val="0"/>
      <w:marTop w:val="0"/>
      <w:marBottom w:val="0"/>
      <w:divBdr>
        <w:top w:val="none" w:sz="0" w:space="0" w:color="auto"/>
        <w:left w:val="none" w:sz="0" w:space="0" w:color="auto"/>
        <w:bottom w:val="none" w:sz="0" w:space="0" w:color="auto"/>
        <w:right w:val="none" w:sz="0" w:space="0" w:color="auto"/>
      </w:divBdr>
    </w:div>
    <w:div w:id="1417825769">
      <w:bodyDiv w:val="1"/>
      <w:marLeft w:val="0"/>
      <w:marRight w:val="0"/>
      <w:marTop w:val="0"/>
      <w:marBottom w:val="0"/>
      <w:divBdr>
        <w:top w:val="none" w:sz="0" w:space="0" w:color="auto"/>
        <w:left w:val="none" w:sz="0" w:space="0" w:color="auto"/>
        <w:bottom w:val="none" w:sz="0" w:space="0" w:color="auto"/>
        <w:right w:val="none" w:sz="0" w:space="0" w:color="auto"/>
      </w:divBdr>
    </w:div>
    <w:div w:id="1418677205">
      <w:bodyDiv w:val="1"/>
      <w:marLeft w:val="0"/>
      <w:marRight w:val="0"/>
      <w:marTop w:val="0"/>
      <w:marBottom w:val="0"/>
      <w:divBdr>
        <w:top w:val="none" w:sz="0" w:space="0" w:color="auto"/>
        <w:left w:val="none" w:sz="0" w:space="0" w:color="auto"/>
        <w:bottom w:val="none" w:sz="0" w:space="0" w:color="auto"/>
        <w:right w:val="none" w:sz="0" w:space="0" w:color="auto"/>
      </w:divBdr>
    </w:div>
    <w:div w:id="1431776987">
      <w:bodyDiv w:val="1"/>
      <w:marLeft w:val="0"/>
      <w:marRight w:val="0"/>
      <w:marTop w:val="0"/>
      <w:marBottom w:val="0"/>
      <w:divBdr>
        <w:top w:val="none" w:sz="0" w:space="0" w:color="auto"/>
        <w:left w:val="none" w:sz="0" w:space="0" w:color="auto"/>
        <w:bottom w:val="none" w:sz="0" w:space="0" w:color="auto"/>
        <w:right w:val="none" w:sz="0" w:space="0" w:color="auto"/>
      </w:divBdr>
    </w:div>
    <w:div w:id="1473790628">
      <w:bodyDiv w:val="1"/>
      <w:marLeft w:val="0"/>
      <w:marRight w:val="0"/>
      <w:marTop w:val="0"/>
      <w:marBottom w:val="0"/>
      <w:divBdr>
        <w:top w:val="none" w:sz="0" w:space="0" w:color="auto"/>
        <w:left w:val="none" w:sz="0" w:space="0" w:color="auto"/>
        <w:bottom w:val="none" w:sz="0" w:space="0" w:color="auto"/>
        <w:right w:val="none" w:sz="0" w:space="0" w:color="auto"/>
      </w:divBdr>
    </w:div>
    <w:div w:id="1500190890">
      <w:bodyDiv w:val="1"/>
      <w:marLeft w:val="0"/>
      <w:marRight w:val="0"/>
      <w:marTop w:val="0"/>
      <w:marBottom w:val="0"/>
      <w:divBdr>
        <w:top w:val="none" w:sz="0" w:space="0" w:color="auto"/>
        <w:left w:val="none" w:sz="0" w:space="0" w:color="auto"/>
        <w:bottom w:val="none" w:sz="0" w:space="0" w:color="auto"/>
        <w:right w:val="none" w:sz="0" w:space="0" w:color="auto"/>
      </w:divBdr>
    </w:div>
    <w:div w:id="1515801094">
      <w:bodyDiv w:val="1"/>
      <w:marLeft w:val="0"/>
      <w:marRight w:val="0"/>
      <w:marTop w:val="0"/>
      <w:marBottom w:val="0"/>
      <w:divBdr>
        <w:top w:val="none" w:sz="0" w:space="0" w:color="auto"/>
        <w:left w:val="none" w:sz="0" w:space="0" w:color="auto"/>
        <w:bottom w:val="none" w:sz="0" w:space="0" w:color="auto"/>
        <w:right w:val="none" w:sz="0" w:space="0" w:color="auto"/>
      </w:divBdr>
    </w:div>
    <w:div w:id="1526215986">
      <w:bodyDiv w:val="1"/>
      <w:marLeft w:val="0"/>
      <w:marRight w:val="0"/>
      <w:marTop w:val="0"/>
      <w:marBottom w:val="0"/>
      <w:divBdr>
        <w:top w:val="none" w:sz="0" w:space="0" w:color="auto"/>
        <w:left w:val="none" w:sz="0" w:space="0" w:color="auto"/>
        <w:bottom w:val="none" w:sz="0" w:space="0" w:color="auto"/>
        <w:right w:val="none" w:sz="0" w:space="0" w:color="auto"/>
      </w:divBdr>
    </w:div>
    <w:div w:id="1574510980">
      <w:bodyDiv w:val="1"/>
      <w:marLeft w:val="0"/>
      <w:marRight w:val="0"/>
      <w:marTop w:val="0"/>
      <w:marBottom w:val="0"/>
      <w:divBdr>
        <w:top w:val="none" w:sz="0" w:space="0" w:color="auto"/>
        <w:left w:val="none" w:sz="0" w:space="0" w:color="auto"/>
        <w:bottom w:val="none" w:sz="0" w:space="0" w:color="auto"/>
        <w:right w:val="none" w:sz="0" w:space="0" w:color="auto"/>
      </w:divBdr>
    </w:div>
    <w:div w:id="1641181370">
      <w:bodyDiv w:val="1"/>
      <w:marLeft w:val="0"/>
      <w:marRight w:val="0"/>
      <w:marTop w:val="0"/>
      <w:marBottom w:val="0"/>
      <w:divBdr>
        <w:top w:val="none" w:sz="0" w:space="0" w:color="auto"/>
        <w:left w:val="none" w:sz="0" w:space="0" w:color="auto"/>
        <w:bottom w:val="none" w:sz="0" w:space="0" w:color="auto"/>
        <w:right w:val="none" w:sz="0" w:space="0" w:color="auto"/>
      </w:divBdr>
    </w:div>
    <w:div w:id="1651445508">
      <w:bodyDiv w:val="1"/>
      <w:marLeft w:val="0"/>
      <w:marRight w:val="0"/>
      <w:marTop w:val="0"/>
      <w:marBottom w:val="0"/>
      <w:divBdr>
        <w:top w:val="none" w:sz="0" w:space="0" w:color="auto"/>
        <w:left w:val="none" w:sz="0" w:space="0" w:color="auto"/>
        <w:bottom w:val="none" w:sz="0" w:space="0" w:color="auto"/>
        <w:right w:val="none" w:sz="0" w:space="0" w:color="auto"/>
      </w:divBdr>
    </w:div>
    <w:div w:id="1663115873">
      <w:bodyDiv w:val="1"/>
      <w:marLeft w:val="0"/>
      <w:marRight w:val="0"/>
      <w:marTop w:val="0"/>
      <w:marBottom w:val="0"/>
      <w:divBdr>
        <w:top w:val="none" w:sz="0" w:space="0" w:color="auto"/>
        <w:left w:val="none" w:sz="0" w:space="0" w:color="auto"/>
        <w:bottom w:val="none" w:sz="0" w:space="0" w:color="auto"/>
        <w:right w:val="none" w:sz="0" w:space="0" w:color="auto"/>
      </w:divBdr>
    </w:div>
    <w:div w:id="1671131265">
      <w:bodyDiv w:val="1"/>
      <w:marLeft w:val="0"/>
      <w:marRight w:val="0"/>
      <w:marTop w:val="0"/>
      <w:marBottom w:val="0"/>
      <w:divBdr>
        <w:top w:val="none" w:sz="0" w:space="0" w:color="auto"/>
        <w:left w:val="none" w:sz="0" w:space="0" w:color="auto"/>
        <w:bottom w:val="none" w:sz="0" w:space="0" w:color="auto"/>
        <w:right w:val="none" w:sz="0" w:space="0" w:color="auto"/>
      </w:divBdr>
    </w:div>
    <w:div w:id="1681001702">
      <w:bodyDiv w:val="1"/>
      <w:marLeft w:val="0"/>
      <w:marRight w:val="0"/>
      <w:marTop w:val="0"/>
      <w:marBottom w:val="0"/>
      <w:divBdr>
        <w:top w:val="none" w:sz="0" w:space="0" w:color="auto"/>
        <w:left w:val="none" w:sz="0" w:space="0" w:color="auto"/>
        <w:bottom w:val="none" w:sz="0" w:space="0" w:color="auto"/>
        <w:right w:val="none" w:sz="0" w:space="0" w:color="auto"/>
      </w:divBdr>
    </w:div>
    <w:div w:id="1709143547">
      <w:bodyDiv w:val="1"/>
      <w:marLeft w:val="0"/>
      <w:marRight w:val="0"/>
      <w:marTop w:val="0"/>
      <w:marBottom w:val="0"/>
      <w:divBdr>
        <w:top w:val="none" w:sz="0" w:space="0" w:color="auto"/>
        <w:left w:val="none" w:sz="0" w:space="0" w:color="auto"/>
        <w:bottom w:val="none" w:sz="0" w:space="0" w:color="auto"/>
        <w:right w:val="none" w:sz="0" w:space="0" w:color="auto"/>
      </w:divBdr>
    </w:div>
    <w:div w:id="1713186278">
      <w:bodyDiv w:val="1"/>
      <w:marLeft w:val="0"/>
      <w:marRight w:val="0"/>
      <w:marTop w:val="0"/>
      <w:marBottom w:val="0"/>
      <w:divBdr>
        <w:top w:val="none" w:sz="0" w:space="0" w:color="auto"/>
        <w:left w:val="none" w:sz="0" w:space="0" w:color="auto"/>
        <w:bottom w:val="none" w:sz="0" w:space="0" w:color="auto"/>
        <w:right w:val="none" w:sz="0" w:space="0" w:color="auto"/>
      </w:divBdr>
    </w:div>
    <w:div w:id="1731882301">
      <w:bodyDiv w:val="1"/>
      <w:marLeft w:val="0"/>
      <w:marRight w:val="0"/>
      <w:marTop w:val="0"/>
      <w:marBottom w:val="0"/>
      <w:divBdr>
        <w:top w:val="none" w:sz="0" w:space="0" w:color="auto"/>
        <w:left w:val="none" w:sz="0" w:space="0" w:color="auto"/>
        <w:bottom w:val="none" w:sz="0" w:space="0" w:color="auto"/>
        <w:right w:val="none" w:sz="0" w:space="0" w:color="auto"/>
      </w:divBdr>
    </w:div>
    <w:div w:id="1771004194">
      <w:bodyDiv w:val="1"/>
      <w:marLeft w:val="0"/>
      <w:marRight w:val="0"/>
      <w:marTop w:val="0"/>
      <w:marBottom w:val="0"/>
      <w:divBdr>
        <w:top w:val="none" w:sz="0" w:space="0" w:color="auto"/>
        <w:left w:val="none" w:sz="0" w:space="0" w:color="auto"/>
        <w:bottom w:val="none" w:sz="0" w:space="0" w:color="auto"/>
        <w:right w:val="none" w:sz="0" w:space="0" w:color="auto"/>
      </w:divBdr>
    </w:div>
    <w:div w:id="1781949011">
      <w:bodyDiv w:val="1"/>
      <w:marLeft w:val="0"/>
      <w:marRight w:val="0"/>
      <w:marTop w:val="0"/>
      <w:marBottom w:val="0"/>
      <w:divBdr>
        <w:top w:val="none" w:sz="0" w:space="0" w:color="auto"/>
        <w:left w:val="none" w:sz="0" w:space="0" w:color="auto"/>
        <w:bottom w:val="none" w:sz="0" w:space="0" w:color="auto"/>
        <w:right w:val="none" w:sz="0" w:space="0" w:color="auto"/>
      </w:divBdr>
    </w:div>
    <w:div w:id="1782458166">
      <w:bodyDiv w:val="1"/>
      <w:marLeft w:val="0"/>
      <w:marRight w:val="0"/>
      <w:marTop w:val="0"/>
      <w:marBottom w:val="0"/>
      <w:divBdr>
        <w:top w:val="none" w:sz="0" w:space="0" w:color="auto"/>
        <w:left w:val="none" w:sz="0" w:space="0" w:color="auto"/>
        <w:bottom w:val="none" w:sz="0" w:space="0" w:color="auto"/>
        <w:right w:val="none" w:sz="0" w:space="0" w:color="auto"/>
      </w:divBdr>
    </w:div>
    <w:div w:id="1789355738">
      <w:bodyDiv w:val="1"/>
      <w:marLeft w:val="0"/>
      <w:marRight w:val="0"/>
      <w:marTop w:val="0"/>
      <w:marBottom w:val="0"/>
      <w:divBdr>
        <w:top w:val="none" w:sz="0" w:space="0" w:color="auto"/>
        <w:left w:val="none" w:sz="0" w:space="0" w:color="auto"/>
        <w:bottom w:val="none" w:sz="0" w:space="0" w:color="auto"/>
        <w:right w:val="none" w:sz="0" w:space="0" w:color="auto"/>
      </w:divBdr>
    </w:div>
    <w:div w:id="1829400370">
      <w:bodyDiv w:val="1"/>
      <w:marLeft w:val="0"/>
      <w:marRight w:val="0"/>
      <w:marTop w:val="0"/>
      <w:marBottom w:val="0"/>
      <w:divBdr>
        <w:top w:val="none" w:sz="0" w:space="0" w:color="auto"/>
        <w:left w:val="none" w:sz="0" w:space="0" w:color="auto"/>
        <w:bottom w:val="none" w:sz="0" w:space="0" w:color="auto"/>
        <w:right w:val="none" w:sz="0" w:space="0" w:color="auto"/>
      </w:divBdr>
    </w:div>
    <w:div w:id="1838156832">
      <w:bodyDiv w:val="1"/>
      <w:marLeft w:val="0"/>
      <w:marRight w:val="0"/>
      <w:marTop w:val="0"/>
      <w:marBottom w:val="0"/>
      <w:divBdr>
        <w:top w:val="none" w:sz="0" w:space="0" w:color="auto"/>
        <w:left w:val="none" w:sz="0" w:space="0" w:color="auto"/>
        <w:bottom w:val="none" w:sz="0" w:space="0" w:color="auto"/>
        <w:right w:val="none" w:sz="0" w:space="0" w:color="auto"/>
      </w:divBdr>
    </w:div>
    <w:div w:id="1853951181">
      <w:bodyDiv w:val="1"/>
      <w:marLeft w:val="0"/>
      <w:marRight w:val="0"/>
      <w:marTop w:val="0"/>
      <w:marBottom w:val="0"/>
      <w:divBdr>
        <w:top w:val="none" w:sz="0" w:space="0" w:color="auto"/>
        <w:left w:val="none" w:sz="0" w:space="0" w:color="auto"/>
        <w:bottom w:val="none" w:sz="0" w:space="0" w:color="auto"/>
        <w:right w:val="none" w:sz="0" w:space="0" w:color="auto"/>
      </w:divBdr>
    </w:div>
    <w:div w:id="1858889017">
      <w:bodyDiv w:val="1"/>
      <w:marLeft w:val="0"/>
      <w:marRight w:val="0"/>
      <w:marTop w:val="0"/>
      <w:marBottom w:val="0"/>
      <w:divBdr>
        <w:top w:val="none" w:sz="0" w:space="0" w:color="auto"/>
        <w:left w:val="none" w:sz="0" w:space="0" w:color="auto"/>
        <w:bottom w:val="none" w:sz="0" w:space="0" w:color="auto"/>
        <w:right w:val="none" w:sz="0" w:space="0" w:color="auto"/>
      </w:divBdr>
    </w:div>
    <w:div w:id="1862666288">
      <w:bodyDiv w:val="1"/>
      <w:marLeft w:val="0"/>
      <w:marRight w:val="0"/>
      <w:marTop w:val="0"/>
      <w:marBottom w:val="0"/>
      <w:divBdr>
        <w:top w:val="none" w:sz="0" w:space="0" w:color="auto"/>
        <w:left w:val="none" w:sz="0" w:space="0" w:color="auto"/>
        <w:bottom w:val="none" w:sz="0" w:space="0" w:color="auto"/>
        <w:right w:val="none" w:sz="0" w:space="0" w:color="auto"/>
      </w:divBdr>
    </w:div>
    <w:div w:id="1867405923">
      <w:bodyDiv w:val="1"/>
      <w:marLeft w:val="0"/>
      <w:marRight w:val="0"/>
      <w:marTop w:val="0"/>
      <w:marBottom w:val="0"/>
      <w:divBdr>
        <w:top w:val="none" w:sz="0" w:space="0" w:color="auto"/>
        <w:left w:val="none" w:sz="0" w:space="0" w:color="auto"/>
        <w:bottom w:val="none" w:sz="0" w:space="0" w:color="auto"/>
        <w:right w:val="none" w:sz="0" w:space="0" w:color="auto"/>
      </w:divBdr>
    </w:div>
    <w:div w:id="1924412411">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68002950">
      <w:bodyDiv w:val="1"/>
      <w:marLeft w:val="0"/>
      <w:marRight w:val="0"/>
      <w:marTop w:val="0"/>
      <w:marBottom w:val="0"/>
      <w:divBdr>
        <w:top w:val="none" w:sz="0" w:space="0" w:color="auto"/>
        <w:left w:val="none" w:sz="0" w:space="0" w:color="auto"/>
        <w:bottom w:val="none" w:sz="0" w:space="0" w:color="auto"/>
        <w:right w:val="none" w:sz="0" w:space="0" w:color="auto"/>
      </w:divBdr>
      <w:divsChild>
        <w:div w:id="201789668">
          <w:marLeft w:val="0"/>
          <w:marRight w:val="0"/>
          <w:marTop w:val="0"/>
          <w:marBottom w:val="0"/>
          <w:divBdr>
            <w:top w:val="none" w:sz="0" w:space="0" w:color="auto"/>
            <w:left w:val="none" w:sz="0" w:space="0" w:color="auto"/>
            <w:bottom w:val="none" w:sz="0" w:space="0" w:color="auto"/>
            <w:right w:val="none" w:sz="0" w:space="0" w:color="auto"/>
          </w:divBdr>
          <w:divsChild>
            <w:div w:id="15865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9746">
      <w:bodyDiv w:val="1"/>
      <w:marLeft w:val="0"/>
      <w:marRight w:val="0"/>
      <w:marTop w:val="0"/>
      <w:marBottom w:val="0"/>
      <w:divBdr>
        <w:top w:val="none" w:sz="0" w:space="0" w:color="auto"/>
        <w:left w:val="none" w:sz="0" w:space="0" w:color="auto"/>
        <w:bottom w:val="none" w:sz="0" w:space="0" w:color="auto"/>
        <w:right w:val="none" w:sz="0" w:space="0" w:color="auto"/>
      </w:divBdr>
    </w:div>
    <w:div w:id="2006937197">
      <w:bodyDiv w:val="1"/>
      <w:marLeft w:val="0"/>
      <w:marRight w:val="0"/>
      <w:marTop w:val="0"/>
      <w:marBottom w:val="0"/>
      <w:divBdr>
        <w:top w:val="none" w:sz="0" w:space="0" w:color="auto"/>
        <w:left w:val="none" w:sz="0" w:space="0" w:color="auto"/>
        <w:bottom w:val="none" w:sz="0" w:space="0" w:color="auto"/>
        <w:right w:val="none" w:sz="0" w:space="0" w:color="auto"/>
      </w:divBdr>
    </w:div>
    <w:div w:id="2014145558">
      <w:bodyDiv w:val="1"/>
      <w:marLeft w:val="0"/>
      <w:marRight w:val="0"/>
      <w:marTop w:val="0"/>
      <w:marBottom w:val="0"/>
      <w:divBdr>
        <w:top w:val="none" w:sz="0" w:space="0" w:color="auto"/>
        <w:left w:val="none" w:sz="0" w:space="0" w:color="auto"/>
        <w:bottom w:val="none" w:sz="0" w:space="0" w:color="auto"/>
        <w:right w:val="none" w:sz="0" w:space="0" w:color="auto"/>
      </w:divBdr>
    </w:div>
    <w:div w:id="2089113800">
      <w:bodyDiv w:val="1"/>
      <w:marLeft w:val="0"/>
      <w:marRight w:val="0"/>
      <w:marTop w:val="0"/>
      <w:marBottom w:val="0"/>
      <w:divBdr>
        <w:top w:val="none" w:sz="0" w:space="0" w:color="auto"/>
        <w:left w:val="none" w:sz="0" w:space="0" w:color="auto"/>
        <w:bottom w:val="none" w:sz="0" w:space="0" w:color="auto"/>
        <w:right w:val="none" w:sz="0" w:space="0" w:color="auto"/>
      </w:divBdr>
    </w:div>
    <w:div w:id="2091197675">
      <w:bodyDiv w:val="1"/>
      <w:marLeft w:val="0"/>
      <w:marRight w:val="0"/>
      <w:marTop w:val="0"/>
      <w:marBottom w:val="0"/>
      <w:divBdr>
        <w:top w:val="none" w:sz="0" w:space="0" w:color="auto"/>
        <w:left w:val="none" w:sz="0" w:space="0" w:color="auto"/>
        <w:bottom w:val="none" w:sz="0" w:space="0" w:color="auto"/>
        <w:right w:val="none" w:sz="0" w:space="0" w:color="auto"/>
      </w:divBdr>
    </w:div>
    <w:div w:id="2100515534">
      <w:bodyDiv w:val="1"/>
      <w:marLeft w:val="0"/>
      <w:marRight w:val="0"/>
      <w:marTop w:val="0"/>
      <w:marBottom w:val="0"/>
      <w:divBdr>
        <w:top w:val="none" w:sz="0" w:space="0" w:color="auto"/>
        <w:left w:val="none" w:sz="0" w:space="0" w:color="auto"/>
        <w:bottom w:val="none" w:sz="0" w:space="0" w:color="auto"/>
        <w:right w:val="none" w:sz="0" w:space="0" w:color="auto"/>
      </w:divBdr>
    </w:div>
    <w:div w:id="2101872482">
      <w:bodyDiv w:val="1"/>
      <w:marLeft w:val="0"/>
      <w:marRight w:val="0"/>
      <w:marTop w:val="0"/>
      <w:marBottom w:val="0"/>
      <w:divBdr>
        <w:top w:val="none" w:sz="0" w:space="0" w:color="auto"/>
        <w:left w:val="none" w:sz="0" w:space="0" w:color="auto"/>
        <w:bottom w:val="none" w:sz="0" w:space="0" w:color="auto"/>
        <w:right w:val="none" w:sz="0" w:space="0" w:color="auto"/>
      </w:divBdr>
    </w:div>
    <w:div w:id="2121408124">
      <w:bodyDiv w:val="1"/>
      <w:marLeft w:val="0"/>
      <w:marRight w:val="0"/>
      <w:marTop w:val="0"/>
      <w:marBottom w:val="0"/>
      <w:divBdr>
        <w:top w:val="none" w:sz="0" w:space="0" w:color="auto"/>
        <w:left w:val="none" w:sz="0" w:space="0" w:color="auto"/>
        <w:bottom w:val="none" w:sz="0" w:space="0" w:color="auto"/>
        <w:right w:val="none" w:sz="0" w:space="0" w:color="auto"/>
      </w:divBdr>
    </w:div>
    <w:div w:id="2125995008">
      <w:bodyDiv w:val="1"/>
      <w:marLeft w:val="0"/>
      <w:marRight w:val="0"/>
      <w:marTop w:val="0"/>
      <w:marBottom w:val="0"/>
      <w:divBdr>
        <w:top w:val="none" w:sz="0" w:space="0" w:color="auto"/>
        <w:left w:val="none" w:sz="0" w:space="0" w:color="auto"/>
        <w:bottom w:val="none" w:sz="0" w:space="0" w:color="auto"/>
        <w:right w:val="none" w:sz="0" w:space="0" w:color="auto"/>
      </w:divBdr>
    </w:div>
    <w:div w:id="2129350370">
      <w:bodyDiv w:val="1"/>
      <w:marLeft w:val="0"/>
      <w:marRight w:val="0"/>
      <w:marTop w:val="0"/>
      <w:marBottom w:val="0"/>
      <w:divBdr>
        <w:top w:val="none" w:sz="0" w:space="0" w:color="auto"/>
        <w:left w:val="none" w:sz="0" w:space="0" w:color="auto"/>
        <w:bottom w:val="none" w:sz="0" w:space="0" w:color="auto"/>
        <w:right w:val="none" w:sz="0" w:space="0" w:color="auto"/>
      </w:divBdr>
    </w:div>
    <w:div w:id="2133088051">
      <w:bodyDiv w:val="1"/>
      <w:marLeft w:val="0"/>
      <w:marRight w:val="0"/>
      <w:marTop w:val="0"/>
      <w:marBottom w:val="0"/>
      <w:divBdr>
        <w:top w:val="none" w:sz="0" w:space="0" w:color="auto"/>
        <w:left w:val="none" w:sz="0" w:space="0" w:color="auto"/>
        <w:bottom w:val="none" w:sz="0" w:space="0" w:color="auto"/>
        <w:right w:val="none" w:sz="0" w:space="0" w:color="auto"/>
      </w:divBdr>
    </w:div>
    <w:div w:id="214711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8ADFD4D6783DB49A6EF974D5D9BEB36" ma:contentTypeVersion="0" ma:contentTypeDescription="Új dokumentum létrehozása." ma:contentTypeScope="" ma:versionID="ed1b709392becd3320cb93e8151ad519">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24156FC0-6D4B-42E8-BE43-D553F55D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D9E24A-9F26-4810-AAE9-F62025EE42F2}">
  <ds:schemaRefs>
    <ds:schemaRef ds:uri="http://schemas.microsoft.com/sharepoint/v3/contenttype/forms"/>
  </ds:schemaRefs>
</ds:datastoreItem>
</file>

<file path=customXml/itemProps3.xml><?xml version="1.0" encoding="utf-8"?>
<ds:datastoreItem xmlns:ds="http://schemas.openxmlformats.org/officeDocument/2006/customXml" ds:itemID="{0EAD5709-B12A-46E0-AD48-1BCEC0FA6A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44</Pages>
  <Words>17237</Words>
  <Characters>118939</Characters>
  <Application>Microsoft Office Word</Application>
  <DocSecurity>0</DocSecurity>
  <Lines>991</Lines>
  <Paragraphs>271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Tornyi Zsuzsanna Katalin Dr.</dc:creator>
  <cp:keywords/>
  <dc:description/>
  <cp:lastModifiedBy>Ujváriné Fejes Renáta</cp:lastModifiedBy>
  <cp:revision>4</cp:revision>
  <cp:lastPrinted>2022-06-15T11:33:00Z</cp:lastPrinted>
  <dcterms:created xsi:type="dcterms:W3CDTF">2022-10-20T07:21:00Z</dcterms:created>
  <dcterms:modified xsi:type="dcterms:W3CDTF">2022-10-20T14:40:00Z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2026-04-27T10:16:26Z</vt:filetime>
  </property>
  <property fmtid="{D5CDD505-2E9C-101B-9397-08002B2CF9AE}" pid="3" name="Érvényességet beállító">
    <vt:lpwstr>tornyizs</vt:lpwstr>
  </property>
  <property fmtid="{D5CDD505-2E9C-101B-9397-08002B2CF9AE}" pid="4" name="Érvényességi idő első beállítása">
    <vt:filetime>2021-04-27T10:16:26Z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tornyizs@mnb.hu</vt:lpwstr>
  </property>
  <property fmtid="{D5CDD505-2E9C-101B-9397-08002B2CF9AE}" pid="8" name="MSIP_Label_b0d11092-50c9-4e74-84b5-b1af078dc3d0_SetDate">
    <vt:lpwstr>2021-04-27T10:26:29.1863223Z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65f5b61d-3761-4092-b55b-9b1cae2c65de</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ContentTypeId">
    <vt:lpwstr>0x01010038ADFD4D6783DB49A6EF974D5D9BEB36</vt:lpwstr>
  </property>
</Properties>
</file>