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5D6B" w14:textId="0A78622D" w:rsidR="00870AE0" w:rsidRPr="00B36555" w:rsidRDefault="00870AE0" w:rsidP="00A1550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36555">
        <w:rPr>
          <w:b/>
          <w:bCs/>
          <w:sz w:val="22"/>
          <w:szCs w:val="22"/>
        </w:rPr>
        <w:t>Tájékoztatás az Európai Parlament és a Tanács (EU) 2017/1129 rendelete</w:t>
      </w:r>
      <w:r w:rsidR="00BE77EA" w:rsidRPr="00B36555">
        <w:rPr>
          <w:b/>
          <w:bCs/>
          <w:sz w:val="22"/>
          <w:szCs w:val="22"/>
        </w:rPr>
        <w:t xml:space="preserve"> (</w:t>
      </w:r>
      <w:r w:rsidR="00BE77EA" w:rsidRPr="00B36555">
        <w:rPr>
          <w:b/>
          <w:bCs/>
          <w:i/>
          <w:iCs/>
          <w:sz w:val="22"/>
          <w:szCs w:val="22"/>
        </w:rPr>
        <w:t>Prospektus Rendelet</w:t>
      </w:r>
      <w:r w:rsidR="00BE77EA" w:rsidRPr="00B36555">
        <w:rPr>
          <w:b/>
          <w:bCs/>
          <w:sz w:val="22"/>
          <w:szCs w:val="22"/>
        </w:rPr>
        <w:t>)</w:t>
      </w:r>
      <w:r w:rsidR="00B36555">
        <w:rPr>
          <w:b/>
          <w:bCs/>
          <w:sz w:val="22"/>
          <w:szCs w:val="22"/>
        </w:rPr>
        <w:t xml:space="preserve"> </w:t>
      </w:r>
      <w:r w:rsidRPr="00B36555">
        <w:rPr>
          <w:b/>
          <w:bCs/>
          <w:sz w:val="22"/>
          <w:szCs w:val="22"/>
        </w:rPr>
        <w:t>vonatkozásában</w:t>
      </w:r>
    </w:p>
    <w:p w14:paraId="53355E36" w14:textId="77777777" w:rsidR="00BE77EA" w:rsidRPr="00B36555" w:rsidRDefault="00BE77EA" w:rsidP="00A1550A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512D5E0C" w14:textId="77777777" w:rsidR="00870AE0" w:rsidRPr="00B36555" w:rsidRDefault="00870AE0" w:rsidP="00870AE0">
      <w:pPr>
        <w:spacing w:after="0" w:line="240" w:lineRule="auto"/>
        <w:rPr>
          <w:sz w:val="22"/>
          <w:szCs w:val="22"/>
        </w:rPr>
      </w:pPr>
    </w:p>
    <w:p w14:paraId="2A6DDBD4" w14:textId="17F1C31A" w:rsidR="00870AE0" w:rsidRPr="00B36555" w:rsidRDefault="00870AE0" w:rsidP="00870AE0">
      <w:pPr>
        <w:spacing w:after="0" w:line="240" w:lineRule="auto"/>
        <w:rPr>
          <w:b/>
          <w:bCs/>
          <w:sz w:val="22"/>
          <w:szCs w:val="22"/>
        </w:rPr>
      </w:pPr>
      <w:r w:rsidRPr="00B36555">
        <w:rPr>
          <w:sz w:val="22"/>
          <w:szCs w:val="22"/>
        </w:rPr>
        <w:t xml:space="preserve">Az Európai Bizottság elfogadta </w:t>
      </w:r>
      <w:hyperlink r:id="rId8" w:history="1">
        <w:r w:rsidRPr="00B36555">
          <w:rPr>
            <w:rStyle w:val="Hiperhivatkozs"/>
            <w:sz w:val="22"/>
            <w:szCs w:val="22"/>
            <w:vertAlign w:val="baseline"/>
          </w:rPr>
          <w:t xml:space="preserve">az </w:t>
        </w:r>
        <w:r w:rsidRPr="00B36555">
          <w:rPr>
            <w:rStyle w:val="Hiperhivatkozs"/>
            <w:b/>
            <w:bCs/>
            <w:sz w:val="22"/>
            <w:szCs w:val="22"/>
            <w:vertAlign w:val="baseline"/>
          </w:rPr>
          <w:t>(EU) 2019/980 Felhatalmazáson Alapuló Rendeletnek</w:t>
        </w:r>
      </w:hyperlink>
      <w:r w:rsidRPr="00B36555">
        <w:rPr>
          <w:b/>
          <w:bCs/>
          <w:sz w:val="22"/>
          <w:szCs w:val="22"/>
        </w:rPr>
        <w:t xml:space="preserve"> a tájékoztató egységes formátuma és szerkezeti sorrendje, valamint észszerűsített tartalma, ellenőrzése és jóváhagyása tekintetében történő módosításáról szóló felhatalmazáson alapuló rendelet (Rendelet) és a kibocsátási tájékoztatók mellékleteinek (Melléklet) </w:t>
      </w:r>
      <w:hyperlink r:id="rId9" w:history="1">
        <w:r w:rsidRPr="00B36555">
          <w:rPr>
            <w:rStyle w:val="Hiperhivatkozs"/>
            <w:b/>
            <w:bCs/>
            <w:sz w:val="22"/>
            <w:szCs w:val="22"/>
            <w:vertAlign w:val="baseline"/>
          </w:rPr>
          <w:t>tervezeteit</w:t>
        </w:r>
      </w:hyperlink>
      <w:r w:rsidRPr="00B36555">
        <w:rPr>
          <w:b/>
          <w:bCs/>
          <w:sz w:val="22"/>
          <w:szCs w:val="22"/>
        </w:rPr>
        <w:t>.  </w:t>
      </w:r>
    </w:p>
    <w:p w14:paraId="5397229D" w14:textId="77777777" w:rsidR="00870AE0" w:rsidRPr="00B36555" w:rsidRDefault="00870AE0" w:rsidP="00870AE0">
      <w:pPr>
        <w:spacing w:after="0" w:line="240" w:lineRule="auto"/>
        <w:rPr>
          <w:sz w:val="22"/>
          <w:szCs w:val="22"/>
        </w:rPr>
      </w:pPr>
    </w:p>
    <w:p w14:paraId="6817CFA1" w14:textId="415FC6EB" w:rsidR="00870AE0" w:rsidRPr="00B36555" w:rsidRDefault="00870AE0" w:rsidP="00870AE0">
      <w:pPr>
        <w:spacing w:after="0" w:line="240" w:lineRule="auto"/>
        <w:rPr>
          <w:sz w:val="22"/>
          <w:szCs w:val="22"/>
        </w:rPr>
      </w:pPr>
      <w:r w:rsidRPr="00B36555">
        <w:rPr>
          <w:sz w:val="22"/>
          <w:szCs w:val="22"/>
        </w:rPr>
        <w:t>Az új Rendelet lerövidíti a</w:t>
      </w:r>
      <w:r w:rsidR="00BE77EA" w:rsidRPr="00B36555">
        <w:rPr>
          <w:sz w:val="22"/>
          <w:szCs w:val="22"/>
        </w:rPr>
        <w:t xml:space="preserve"> (EU) 2017/1129 rendelete (</w:t>
      </w:r>
      <w:r w:rsidR="00BE77EA" w:rsidRPr="00B36555">
        <w:rPr>
          <w:b/>
          <w:bCs/>
          <w:sz w:val="22"/>
          <w:szCs w:val="22"/>
        </w:rPr>
        <w:t>Prospektus Rendelet</w:t>
      </w:r>
      <w:r w:rsidR="00BE77EA" w:rsidRPr="00B36555">
        <w:rPr>
          <w:sz w:val="22"/>
          <w:szCs w:val="22"/>
        </w:rPr>
        <w:t>)</w:t>
      </w:r>
      <w:r w:rsidR="00AF280D" w:rsidRPr="00B36555">
        <w:rPr>
          <w:sz w:val="22"/>
          <w:szCs w:val="22"/>
        </w:rPr>
        <w:t xml:space="preserve"> </w:t>
      </w:r>
      <w:r w:rsidR="00BE77EA" w:rsidRPr="00B36555">
        <w:rPr>
          <w:sz w:val="22"/>
          <w:szCs w:val="22"/>
        </w:rPr>
        <w:t>szerinti</w:t>
      </w:r>
      <w:r w:rsidRPr="00B36555">
        <w:rPr>
          <w:sz w:val="22"/>
          <w:szCs w:val="22"/>
        </w:rPr>
        <w:t xml:space="preserve"> tájékoztatókat, és egységes formátumot, valamint sorrendet határoz meg a bennük foglalt információk számára. Bevezeti az uniós IPO-tájékoztató fogalmát, továbbá új követelményeket vázol fel az ESG elemeket tartalmazó tájékoztatókra vonatkozóan. Emellett harmonizálja és egyértelműsíti a tájékoztatók ellenőrzésének és jóváhagyásának folyamatait.</w:t>
      </w:r>
    </w:p>
    <w:p w14:paraId="74853138" w14:textId="77777777" w:rsidR="00870AE0" w:rsidRPr="00B36555" w:rsidRDefault="00870AE0" w:rsidP="00870AE0">
      <w:pPr>
        <w:spacing w:after="0" w:line="240" w:lineRule="auto"/>
        <w:rPr>
          <w:sz w:val="22"/>
          <w:szCs w:val="22"/>
        </w:rPr>
      </w:pPr>
    </w:p>
    <w:p w14:paraId="34BE3A77" w14:textId="125EF52C" w:rsidR="00870AE0" w:rsidRPr="00B36555" w:rsidRDefault="00870AE0" w:rsidP="00870AE0">
      <w:pPr>
        <w:spacing w:after="0" w:line="240" w:lineRule="auto"/>
        <w:rPr>
          <w:sz w:val="22"/>
          <w:szCs w:val="22"/>
        </w:rPr>
      </w:pPr>
      <w:r w:rsidRPr="00B36555">
        <w:rPr>
          <w:sz w:val="22"/>
          <w:szCs w:val="22"/>
        </w:rPr>
        <w:t xml:space="preserve">A </w:t>
      </w:r>
      <w:hyperlink r:id="rId10" w:history="1">
        <w:r w:rsidRPr="00B36555">
          <w:rPr>
            <w:rStyle w:val="Hiperhivatkozs"/>
            <w:sz w:val="22"/>
            <w:szCs w:val="22"/>
            <w:vertAlign w:val="baseline"/>
          </w:rPr>
          <w:t>Listing Act</w:t>
        </w:r>
      </w:hyperlink>
      <w:r w:rsidRPr="00B36555">
        <w:rPr>
          <w:sz w:val="22"/>
          <w:szCs w:val="22"/>
        </w:rPr>
        <w:t xml:space="preserve"> a Prospektus Rendelet Level I-es módosításait 2026. június 5. napján léptette hatályba. Ugyanakkor a tájékoztatók tartalmi követelményeit (Level II) szabályozó Végrehajtási rendelet a korábbiakban közzétett kommunikációval szemben (</w:t>
      </w:r>
      <w:hyperlink r:id="rId11" w:history="1">
        <w:r w:rsidRPr="00B36555">
          <w:rPr>
            <w:rStyle w:val="Hiperhivatkozs"/>
            <w:sz w:val="22"/>
            <w:szCs w:val="22"/>
            <w:vertAlign w:val="baseline"/>
          </w:rPr>
          <w:t>ESMA Statement</w:t>
        </w:r>
      </w:hyperlink>
      <w:r w:rsidRPr="00B36555">
        <w:rPr>
          <w:sz w:val="22"/>
          <w:szCs w:val="22"/>
        </w:rPr>
        <w:t xml:space="preserve">) </w:t>
      </w:r>
      <w:r w:rsidRPr="00B36555">
        <w:rPr>
          <w:b/>
          <w:bCs/>
          <w:sz w:val="22"/>
          <w:szCs w:val="22"/>
        </w:rPr>
        <w:t>nem lépett hatályba</w:t>
      </w:r>
      <w:r w:rsidRPr="00B36555">
        <w:rPr>
          <w:sz w:val="22"/>
          <w:szCs w:val="22"/>
        </w:rPr>
        <w:t xml:space="preserve"> a Prospektus Rendelet módosításaival egyidőben. </w:t>
      </w:r>
    </w:p>
    <w:p w14:paraId="00D5AA4C" w14:textId="77777777" w:rsidR="00870AE0" w:rsidRPr="00B36555" w:rsidRDefault="00870AE0" w:rsidP="00870AE0">
      <w:pPr>
        <w:spacing w:after="0" w:line="240" w:lineRule="auto"/>
        <w:rPr>
          <w:sz w:val="22"/>
          <w:szCs w:val="22"/>
        </w:rPr>
      </w:pPr>
    </w:p>
    <w:p w14:paraId="1FF2C887" w14:textId="4FAF4186" w:rsidR="00870AE0" w:rsidRPr="00B36555" w:rsidRDefault="00870AE0" w:rsidP="00870AE0">
      <w:pPr>
        <w:spacing w:after="0" w:line="240" w:lineRule="auto"/>
        <w:rPr>
          <w:sz w:val="22"/>
          <w:szCs w:val="22"/>
        </w:rPr>
      </w:pPr>
      <w:r w:rsidRPr="00B36555">
        <w:rPr>
          <w:sz w:val="22"/>
          <w:szCs w:val="22"/>
        </w:rPr>
        <w:t>A 2019/980/EU Prospektus Végrehajtási Rendeletet (</w:t>
      </w:r>
      <w:r w:rsidRPr="00B36555">
        <w:rPr>
          <w:b/>
          <w:bCs/>
          <w:sz w:val="22"/>
          <w:szCs w:val="22"/>
        </w:rPr>
        <w:t>Végrehajtási Rendelet</w:t>
      </w:r>
      <w:r w:rsidRPr="00B36555">
        <w:rPr>
          <w:sz w:val="22"/>
          <w:szCs w:val="22"/>
        </w:rPr>
        <w:t>) módosító rendelet (</w:t>
      </w:r>
      <w:r w:rsidRPr="00B36555">
        <w:rPr>
          <w:b/>
          <w:bCs/>
          <w:sz w:val="22"/>
          <w:szCs w:val="22"/>
        </w:rPr>
        <w:t>Módosító Rendelet</w:t>
      </w:r>
      <w:r w:rsidRPr="00B36555">
        <w:rPr>
          <w:sz w:val="22"/>
          <w:szCs w:val="22"/>
        </w:rPr>
        <w:t xml:space="preserve">) végleges szövege 2026. május 7. napján került </w:t>
      </w:r>
      <w:hyperlink r:id="rId12" w:history="1">
        <w:r w:rsidRPr="00B36555">
          <w:rPr>
            <w:rStyle w:val="Hiperhivatkozs"/>
            <w:sz w:val="22"/>
            <w:szCs w:val="22"/>
            <w:vertAlign w:val="baseline"/>
          </w:rPr>
          <w:t>közzétételre</w:t>
        </w:r>
      </w:hyperlink>
      <w:r w:rsidRPr="00B36555">
        <w:rPr>
          <w:sz w:val="22"/>
          <w:szCs w:val="22"/>
        </w:rPr>
        <w:t xml:space="preserve">. A Módosító Rendelet hatálybalépésére várhatóan a 2026. május 7. napja utáni három és fél hónapos időszak elteltét követően fog sor kerülni. </w:t>
      </w:r>
    </w:p>
    <w:p w14:paraId="4003AF3F" w14:textId="77777777" w:rsidR="00870AE0" w:rsidRPr="00B36555" w:rsidRDefault="00870AE0" w:rsidP="00870AE0">
      <w:pPr>
        <w:spacing w:after="0" w:line="240" w:lineRule="auto"/>
        <w:rPr>
          <w:sz w:val="22"/>
          <w:szCs w:val="22"/>
        </w:rPr>
      </w:pPr>
    </w:p>
    <w:p w14:paraId="6866DECF" w14:textId="7CDB2BF8" w:rsidR="00870AE0" w:rsidRPr="00B36555" w:rsidRDefault="00870AE0" w:rsidP="00870AE0">
      <w:pPr>
        <w:spacing w:after="0" w:line="240" w:lineRule="auto"/>
        <w:rPr>
          <w:sz w:val="22"/>
          <w:szCs w:val="22"/>
        </w:rPr>
      </w:pPr>
      <w:r w:rsidRPr="00B36555">
        <w:rPr>
          <w:sz w:val="22"/>
          <w:szCs w:val="22"/>
        </w:rPr>
        <w:t xml:space="preserve">Az ESMA által 2026. május 7. napján közzétett </w:t>
      </w:r>
      <w:hyperlink r:id="rId13" w:history="1">
        <w:r w:rsidRPr="00B36555">
          <w:rPr>
            <w:rStyle w:val="Hiperhivatkozs"/>
            <w:sz w:val="22"/>
            <w:szCs w:val="22"/>
            <w:vertAlign w:val="baseline"/>
          </w:rPr>
          <w:t>nyilatkozat</w:t>
        </w:r>
      </w:hyperlink>
      <w:r w:rsidRPr="00B36555">
        <w:rPr>
          <w:sz w:val="22"/>
          <w:szCs w:val="22"/>
        </w:rPr>
        <w:t xml:space="preserve"> alapján – a 2026. június 5. napját követő és a Módosító Rendelet hatálybalépéséig tartó átmeneti időszakban kezdeményezett jóváhagyási eljárások tekintetében – az ESMA már a még hatályba nem lépett Módosító Rendelet szerinti mellékletek alkalmazását javasolja. </w:t>
      </w:r>
    </w:p>
    <w:p w14:paraId="28E53ADD" w14:textId="77777777" w:rsidR="00870AE0" w:rsidRPr="00B36555" w:rsidRDefault="00870AE0" w:rsidP="00870AE0">
      <w:pPr>
        <w:spacing w:after="0" w:line="240" w:lineRule="auto"/>
        <w:rPr>
          <w:sz w:val="22"/>
          <w:szCs w:val="22"/>
        </w:rPr>
      </w:pPr>
    </w:p>
    <w:p w14:paraId="6A616ACE" w14:textId="65419E4D" w:rsidR="00870AE0" w:rsidRPr="00B36555" w:rsidRDefault="00870AE0" w:rsidP="00870AE0">
      <w:pPr>
        <w:spacing w:after="0" w:line="240" w:lineRule="auto"/>
        <w:rPr>
          <w:b/>
          <w:bCs/>
          <w:sz w:val="22"/>
          <w:szCs w:val="22"/>
        </w:rPr>
      </w:pPr>
      <w:r w:rsidRPr="00B36555">
        <w:rPr>
          <w:b/>
          <w:bCs/>
          <w:sz w:val="22"/>
          <w:szCs w:val="22"/>
        </w:rPr>
        <w:t xml:space="preserve">Az MNB – az ESMA nyilatkozatával összhangban – 2026. június 5. napját követően a még hatályba nem lépett Módosító Rendeletnek való megfelelést és annak mellékleteinek </w:t>
      </w:r>
      <w:r w:rsidR="00AF280D" w:rsidRPr="00B36555">
        <w:rPr>
          <w:b/>
          <w:bCs/>
          <w:sz w:val="22"/>
          <w:szCs w:val="22"/>
        </w:rPr>
        <w:t xml:space="preserve">(azaz az új melléklet sablonok) </w:t>
      </w:r>
      <w:r w:rsidRPr="00B36555">
        <w:rPr>
          <w:b/>
          <w:bCs/>
          <w:sz w:val="22"/>
          <w:szCs w:val="22"/>
        </w:rPr>
        <w:t xml:space="preserve">alkalmazását várja el a </w:t>
      </w:r>
      <w:hyperlink r:id="rId14" w:history="1">
        <w:r w:rsidRPr="00B36555">
          <w:rPr>
            <w:rStyle w:val="Hiperhivatkozs"/>
            <w:b/>
            <w:bCs/>
            <w:sz w:val="22"/>
            <w:szCs w:val="22"/>
            <w:vertAlign w:val="baseline"/>
          </w:rPr>
          <w:t>Prospektus Rendelet</w:t>
        </w:r>
      </w:hyperlink>
      <w:r w:rsidRPr="00B36555">
        <w:rPr>
          <w:b/>
          <w:bCs/>
          <w:sz w:val="22"/>
          <w:szCs w:val="22"/>
        </w:rPr>
        <w:t xml:space="preserve"> vonatkozásában.</w:t>
      </w:r>
    </w:p>
    <w:p w14:paraId="5049BE93" w14:textId="77777777" w:rsidR="00B36555" w:rsidRPr="00B36555" w:rsidRDefault="00B36555" w:rsidP="00870AE0">
      <w:pPr>
        <w:spacing w:after="0" w:line="240" w:lineRule="auto"/>
        <w:rPr>
          <w:b/>
          <w:bCs/>
          <w:sz w:val="22"/>
          <w:szCs w:val="22"/>
        </w:rPr>
      </w:pPr>
    </w:p>
    <w:p w14:paraId="53B1CD10" w14:textId="5981B95A" w:rsidR="00B36555" w:rsidRDefault="00B36555" w:rsidP="00B36555">
      <w:pPr>
        <w:rPr>
          <w:rFonts w:asciiTheme="minorHAnsi" w:hAnsiTheme="minorHAnsi" w:cstheme="minorHAnsi"/>
        </w:rPr>
      </w:pPr>
      <w:r w:rsidRPr="00735A89">
        <w:rPr>
          <w:rFonts w:cs="Calibri"/>
          <w:sz w:val="22"/>
          <w:szCs w:val="22"/>
        </w:rPr>
        <w:t>Amennyiben tájékoztatásunkat követően további – adott, egyedi ügyre vonatkozó, telefonos, illetve írásban történő egyeztetés során meg nem válaszolható – kérdés merülne fel, az MNB lehetőséget biztosít a kérelmező számára személyes egyeztetésre is.</w:t>
      </w:r>
    </w:p>
    <w:p w14:paraId="24160CA6" w14:textId="27A253AD" w:rsidR="00B36555" w:rsidRPr="00CF6A26" w:rsidRDefault="00B36555" w:rsidP="00B36555">
      <w:pPr>
        <w:rPr>
          <w:rFonts w:asciiTheme="minorHAnsi" w:hAnsiTheme="minorHAnsi" w:cstheme="minorHAnsi"/>
        </w:rPr>
      </w:pPr>
      <w:r w:rsidRPr="00735A89">
        <w:rPr>
          <w:rFonts w:cs="Calibri"/>
          <w:sz w:val="22"/>
          <w:szCs w:val="22"/>
        </w:rPr>
        <w:t>A</w:t>
      </w:r>
      <w:r>
        <w:rPr>
          <w:rFonts w:cs="Calibri"/>
          <w:sz w:val="22"/>
          <w:szCs w:val="22"/>
        </w:rPr>
        <w:t xml:space="preserve"> tájékoztatók </w:t>
      </w:r>
      <w:r w:rsidRPr="00735A89">
        <w:rPr>
          <w:rFonts w:cs="Calibri"/>
          <w:sz w:val="22"/>
          <w:szCs w:val="22"/>
        </w:rPr>
        <w:t>engedélyezése vonatkozásában felmerült kérdések esetén keresse a Tőkepiaci jogérvényesítési és kibocsátási engedélyezési főosztály titkárságát (e-mail-cím:</w:t>
      </w:r>
      <w:hyperlink r:id="rId15" w:history="1">
        <w:r w:rsidRPr="00735A89">
          <w:rPr>
            <w:rStyle w:val="Hiperhivatkozs"/>
            <w:rFonts w:cs="Calibri"/>
            <w:sz w:val="22"/>
            <w:szCs w:val="22"/>
            <w:vertAlign w:val="baseline"/>
          </w:rPr>
          <w:t>tjktit@mnb.hu</w:t>
        </w:r>
      </w:hyperlink>
      <w:r w:rsidRPr="00735A89">
        <w:rPr>
          <w:rFonts w:cs="Calibri"/>
          <w:sz w:val="22"/>
          <w:szCs w:val="22"/>
        </w:rPr>
        <w:t>).</w:t>
      </w:r>
    </w:p>
    <w:p w14:paraId="60D86CC1" w14:textId="77777777" w:rsidR="00B36555" w:rsidRPr="00870AE0" w:rsidRDefault="00B36555" w:rsidP="00870AE0">
      <w:pPr>
        <w:spacing w:after="0" w:line="240" w:lineRule="auto"/>
        <w:rPr>
          <w:b/>
          <w:bCs/>
        </w:rPr>
      </w:pPr>
    </w:p>
    <w:p w14:paraId="44E7BBF4" w14:textId="77777777" w:rsidR="00870AE0" w:rsidRDefault="00870AE0" w:rsidP="00870AE0">
      <w:pPr>
        <w:spacing w:after="0" w:line="240" w:lineRule="auto"/>
      </w:pPr>
    </w:p>
    <w:p w14:paraId="7C82A435" w14:textId="2E309C01" w:rsidR="00870AE0" w:rsidRPr="00B36555" w:rsidRDefault="00AF280D" w:rsidP="00870AE0">
      <w:pPr>
        <w:spacing w:after="0" w:line="240" w:lineRule="auto"/>
        <w:rPr>
          <w:b/>
          <w:bCs/>
          <w:sz w:val="22"/>
          <w:szCs w:val="22"/>
        </w:rPr>
      </w:pPr>
      <w:r w:rsidRPr="00B36555">
        <w:rPr>
          <w:b/>
          <w:bCs/>
          <w:sz w:val="22"/>
          <w:szCs w:val="22"/>
        </w:rPr>
        <w:t xml:space="preserve">Budapest, 2026. június 5. </w:t>
      </w:r>
    </w:p>
    <w:p w14:paraId="6774C073" w14:textId="77777777" w:rsidR="00AF280D" w:rsidRPr="00B36555" w:rsidRDefault="00AF280D" w:rsidP="00870AE0">
      <w:pPr>
        <w:spacing w:after="0" w:line="240" w:lineRule="auto"/>
        <w:rPr>
          <w:b/>
          <w:bCs/>
          <w:sz w:val="22"/>
          <w:szCs w:val="22"/>
        </w:rPr>
      </w:pPr>
    </w:p>
    <w:p w14:paraId="1BB71C40" w14:textId="235B966A" w:rsidR="00AF280D" w:rsidRPr="00B36555" w:rsidRDefault="00AF280D" w:rsidP="00870AE0">
      <w:pPr>
        <w:spacing w:after="0" w:line="240" w:lineRule="auto"/>
        <w:rPr>
          <w:b/>
          <w:bCs/>
          <w:sz w:val="22"/>
          <w:szCs w:val="22"/>
        </w:rPr>
      </w:pPr>
      <w:r w:rsidRPr="00B36555">
        <w:rPr>
          <w:b/>
          <w:bCs/>
          <w:sz w:val="22"/>
          <w:szCs w:val="22"/>
        </w:rPr>
        <w:tab/>
      </w:r>
      <w:r w:rsidRPr="00B36555">
        <w:rPr>
          <w:b/>
          <w:bCs/>
          <w:sz w:val="22"/>
          <w:szCs w:val="22"/>
        </w:rPr>
        <w:tab/>
      </w:r>
      <w:r w:rsidRPr="00B36555">
        <w:rPr>
          <w:b/>
          <w:bCs/>
          <w:sz w:val="22"/>
          <w:szCs w:val="22"/>
        </w:rPr>
        <w:tab/>
      </w:r>
      <w:r w:rsidRPr="00B36555">
        <w:rPr>
          <w:b/>
          <w:bCs/>
          <w:sz w:val="22"/>
          <w:szCs w:val="22"/>
        </w:rPr>
        <w:tab/>
      </w:r>
      <w:r w:rsidRPr="00B36555">
        <w:rPr>
          <w:b/>
          <w:bCs/>
          <w:sz w:val="22"/>
          <w:szCs w:val="22"/>
        </w:rPr>
        <w:tab/>
      </w:r>
      <w:r w:rsidRPr="00B36555">
        <w:rPr>
          <w:b/>
          <w:bCs/>
          <w:sz w:val="22"/>
          <w:szCs w:val="22"/>
        </w:rPr>
        <w:tab/>
      </w:r>
      <w:r w:rsidRPr="00B36555">
        <w:rPr>
          <w:b/>
          <w:bCs/>
          <w:sz w:val="22"/>
          <w:szCs w:val="22"/>
        </w:rPr>
        <w:tab/>
        <w:t>Kibocsátási engedélyezési osztály</w:t>
      </w:r>
    </w:p>
    <w:p w14:paraId="3AE281DD" w14:textId="77777777" w:rsidR="00870AE0" w:rsidRPr="00870AE0" w:rsidRDefault="00870AE0" w:rsidP="00870AE0">
      <w:pPr>
        <w:spacing w:after="0" w:line="240" w:lineRule="auto"/>
        <w:rPr>
          <w:b/>
          <w:bCs/>
        </w:rPr>
      </w:pPr>
    </w:p>
    <w:p w14:paraId="51C0A9EB" w14:textId="77777777" w:rsidR="00B944EB" w:rsidRPr="00B944EB" w:rsidRDefault="00B944EB" w:rsidP="00870AE0">
      <w:pPr>
        <w:spacing w:after="0" w:line="240" w:lineRule="auto"/>
      </w:pPr>
    </w:p>
    <w:sectPr w:rsidR="00B944EB" w:rsidRPr="00B944EB" w:rsidSect="00CD6E8D">
      <w:headerReference w:type="default" r:id="rId16"/>
      <w:footerReference w:type="default" r:id="rId17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00AD" w14:textId="77777777" w:rsidR="00870AE0" w:rsidRDefault="00870AE0">
      <w:r>
        <w:separator/>
      </w:r>
    </w:p>
  </w:endnote>
  <w:endnote w:type="continuationSeparator" w:id="0">
    <w:p w14:paraId="20DF29D8" w14:textId="77777777" w:rsidR="00870AE0" w:rsidRDefault="0087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21A5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25AB" w14:textId="77777777" w:rsidR="00870AE0" w:rsidRDefault="00870AE0">
      <w:r>
        <w:separator/>
      </w:r>
    </w:p>
  </w:footnote>
  <w:footnote w:type="continuationSeparator" w:id="0">
    <w:p w14:paraId="5EDC2F5F" w14:textId="77777777" w:rsidR="00870AE0" w:rsidRDefault="0087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C8A6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3C768B8"/>
    <w:multiLevelType w:val="hybridMultilevel"/>
    <w:tmpl w:val="34D2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09887">
    <w:abstractNumId w:val="4"/>
  </w:num>
  <w:num w:numId="2" w16cid:durableId="1844514374">
    <w:abstractNumId w:val="2"/>
  </w:num>
  <w:num w:numId="3" w16cid:durableId="201865294">
    <w:abstractNumId w:val="5"/>
  </w:num>
  <w:num w:numId="4" w16cid:durableId="1541017618">
    <w:abstractNumId w:val="0"/>
  </w:num>
  <w:num w:numId="5" w16cid:durableId="2064908544">
    <w:abstractNumId w:val="1"/>
  </w:num>
  <w:num w:numId="6" w16cid:durableId="754866332">
    <w:abstractNumId w:val="7"/>
  </w:num>
  <w:num w:numId="7" w16cid:durableId="259291659">
    <w:abstractNumId w:val="3"/>
  </w:num>
  <w:num w:numId="8" w16cid:durableId="279798692">
    <w:abstractNumId w:val="9"/>
  </w:num>
  <w:num w:numId="9" w16cid:durableId="2089617246">
    <w:abstractNumId w:val="7"/>
    <w:lvlOverride w:ilvl="0">
      <w:startOverride w:val="1"/>
    </w:lvlOverride>
  </w:num>
  <w:num w:numId="10" w16cid:durableId="650718150">
    <w:abstractNumId w:val="11"/>
  </w:num>
  <w:num w:numId="11" w16cid:durableId="183399180">
    <w:abstractNumId w:val="8"/>
  </w:num>
  <w:num w:numId="12" w16cid:durableId="345060052">
    <w:abstractNumId w:val="6"/>
  </w:num>
  <w:num w:numId="13" w16cid:durableId="1613783660">
    <w:abstractNumId w:val="5"/>
  </w:num>
  <w:num w:numId="14" w16cid:durableId="405303341">
    <w:abstractNumId w:val="5"/>
  </w:num>
  <w:num w:numId="15" w16cid:durableId="2008440284">
    <w:abstractNumId w:val="5"/>
  </w:num>
  <w:num w:numId="16" w16cid:durableId="307441185">
    <w:abstractNumId w:val="5"/>
  </w:num>
  <w:num w:numId="17" w16cid:durableId="1003969257">
    <w:abstractNumId w:val="5"/>
  </w:num>
  <w:num w:numId="18" w16cid:durableId="1701854612">
    <w:abstractNumId w:val="5"/>
  </w:num>
  <w:num w:numId="19" w16cid:durableId="1996314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E0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977DE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52BC"/>
    <w:rsid w:val="003F128A"/>
    <w:rsid w:val="0041484F"/>
    <w:rsid w:val="00423D50"/>
    <w:rsid w:val="0043276D"/>
    <w:rsid w:val="004330EA"/>
    <w:rsid w:val="00434DC6"/>
    <w:rsid w:val="004413FF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C634A"/>
    <w:rsid w:val="005D1A2C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70AE0"/>
    <w:rsid w:val="008935BD"/>
    <w:rsid w:val="008936DF"/>
    <w:rsid w:val="008A1C40"/>
    <w:rsid w:val="008B61E3"/>
    <w:rsid w:val="008C474C"/>
    <w:rsid w:val="008C56D8"/>
    <w:rsid w:val="008D3AA6"/>
    <w:rsid w:val="008D6221"/>
    <w:rsid w:val="008E26F2"/>
    <w:rsid w:val="008E3579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8741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550A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7D28"/>
    <w:rsid w:val="00AB3E83"/>
    <w:rsid w:val="00AB5B26"/>
    <w:rsid w:val="00AB69D6"/>
    <w:rsid w:val="00AB7DBF"/>
    <w:rsid w:val="00AC6950"/>
    <w:rsid w:val="00AE3CD1"/>
    <w:rsid w:val="00AE41D5"/>
    <w:rsid w:val="00AE4D73"/>
    <w:rsid w:val="00AF1C92"/>
    <w:rsid w:val="00AF280D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555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E77EA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72FB8"/>
    <w:rsid w:val="00C907C0"/>
    <w:rsid w:val="00C93837"/>
    <w:rsid w:val="00CA398B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335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E4050"/>
    <w:rsid w:val="00EE4149"/>
    <w:rsid w:val="00F04867"/>
    <w:rsid w:val="00F04E3E"/>
    <w:rsid w:val="00F10771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15FCD"/>
  <w15:chartTrackingRefBased/>
  <w15:docId w15:val="{2892A35D-651B-4261-9B4D-7613FA56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69D6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AB69D6"/>
    <w:pPr>
      <w:keepNext/>
      <w:keepLines/>
      <w:numPr>
        <w:numId w:val="18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AB69D6"/>
    <w:pPr>
      <w:numPr>
        <w:ilvl w:val="1"/>
        <w:numId w:val="18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AB69D6"/>
    <w:pPr>
      <w:numPr>
        <w:ilvl w:val="2"/>
        <w:numId w:val="18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AB69D6"/>
    <w:pPr>
      <w:numPr>
        <w:ilvl w:val="3"/>
        <w:numId w:val="18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AB69D6"/>
    <w:pPr>
      <w:numPr>
        <w:ilvl w:val="4"/>
        <w:numId w:val="18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AB69D6"/>
    <w:pPr>
      <w:numPr>
        <w:ilvl w:val="5"/>
        <w:numId w:val="18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69D6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69D6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69D6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AB69D6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AB69D6"/>
  </w:style>
  <w:style w:type="table" w:customStyle="1" w:styleId="tblzat-mtrix">
    <w:name w:val="táblázat - mátrix"/>
    <w:basedOn w:val="Normltblzat"/>
    <w:uiPriority w:val="2"/>
    <w:qFormat/>
    <w:rsid w:val="00AB69D6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AB69D6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AB69D6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AB69D6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AB69D6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AB69D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69D6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AB69D6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69D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AB69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B69D6"/>
  </w:style>
  <w:style w:type="paragraph" w:styleId="llb">
    <w:name w:val="footer"/>
    <w:basedOn w:val="Norml"/>
    <w:link w:val="llbChar"/>
    <w:uiPriority w:val="99"/>
    <w:semiHidden/>
    <w:unhideWhenUsed/>
    <w:rsid w:val="00AB69D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B69D6"/>
  </w:style>
  <w:style w:type="paragraph" w:customStyle="1" w:styleId="Szmozs">
    <w:name w:val="Számozás"/>
    <w:basedOn w:val="Norml"/>
    <w:uiPriority w:val="4"/>
    <w:qFormat/>
    <w:rsid w:val="00AB69D6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AB69D6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AB69D6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AB69D6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AB69D6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AB69D6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AB69D6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AB69D6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AB69D6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AB69D6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69D6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69D6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69D6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AB69D6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AB69D6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AB69D6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AB69D6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AB69D6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AB69D6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B69D6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AB69D6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AB69D6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AB69D6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B69D6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B69D6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AB69D6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AB69D6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AB69D6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AB69D6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AB69D6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AB69D6"/>
  </w:style>
  <w:style w:type="character" w:styleId="Finomhivatkozs">
    <w:name w:val="Subtle Reference"/>
    <w:basedOn w:val="Bekezdsalapbettpusa"/>
    <w:uiPriority w:val="31"/>
    <w:rsid w:val="00AB69D6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AB69D6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AB69D6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AB69D6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AB69D6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AB69D6"/>
  </w:style>
  <w:style w:type="paragraph" w:styleId="Alcm">
    <w:name w:val="Subtitle"/>
    <w:basedOn w:val="Norml"/>
    <w:next w:val="Norml"/>
    <w:link w:val="AlcmChar"/>
    <w:uiPriority w:val="11"/>
    <w:rsid w:val="00AB69D6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AB69D6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AB69D6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AB69D6"/>
  </w:style>
  <w:style w:type="paragraph" w:customStyle="1" w:styleId="Erskiemels1">
    <w:name w:val="Erős kiemelés1"/>
    <w:basedOn w:val="Norml"/>
    <w:link w:val="ErskiemelsChar"/>
    <w:uiPriority w:val="5"/>
    <w:qFormat/>
    <w:rsid w:val="00AB69D6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AB69D6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AB69D6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AB69D6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AB69D6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B69D6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AB69D6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AB69D6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AB69D6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AB69D6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AB69D6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AB69D6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AB69D6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AB69D6"/>
  </w:style>
  <w:style w:type="character" w:styleId="Kiemels2">
    <w:name w:val="Strong"/>
    <w:basedOn w:val="Bekezdsalapbettpusa"/>
    <w:uiPriority w:val="22"/>
    <w:rsid w:val="00AB69D6"/>
    <w:rPr>
      <w:b/>
      <w:bCs/>
    </w:rPr>
  </w:style>
  <w:style w:type="character" w:styleId="Kiemels">
    <w:name w:val="Emphasis"/>
    <w:basedOn w:val="Bekezdsalapbettpusa"/>
    <w:uiPriority w:val="6"/>
    <w:qFormat/>
    <w:rsid w:val="00AB69D6"/>
    <w:rPr>
      <w:i/>
      <w:iCs/>
    </w:rPr>
  </w:style>
  <w:style w:type="paragraph" w:styleId="Nincstrkz">
    <w:name w:val="No Spacing"/>
    <w:basedOn w:val="Norml"/>
    <w:uiPriority w:val="1"/>
    <w:rsid w:val="00AB69D6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AB69D6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AB69D6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AB69D6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69D6"/>
    <w:rPr>
      <w:b/>
      <w:i/>
    </w:rPr>
  </w:style>
  <w:style w:type="character" w:styleId="Erskiemels">
    <w:name w:val="Intense Emphasis"/>
    <w:basedOn w:val="Bekezdsalapbettpusa"/>
    <w:uiPriority w:val="21"/>
    <w:rsid w:val="00AB69D6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AB69D6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AB69D6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AB69D6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AB69D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AB69D6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AB69D6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AB69D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AB69D6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AB69D6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AB69D6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AB69D6"/>
  </w:style>
  <w:style w:type="paragraph" w:customStyle="1" w:styleId="ENNormalBox">
    <w:name w:val="EN_Normal_Box"/>
    <w:basedOn w:val="Norml"/>
    <w:uiPriority w:val="1"/>
    <w:qFormat/>
    <w:rsid w:val="00AB69D6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AB69D6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AB69D6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AB69D6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AB69D6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AB69D6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AB69D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AB69D6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AB69D6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AB69D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AB69D6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AB69D6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AB69D6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AB69D6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AB69D6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AB69D6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AB69D6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AB69D6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AB69D6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AB69D6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AB69D6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AB69D6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AB69D6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AB69D6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AB69D6"/>
    <w:rPr>
      <w:b w:val="0"/>
      <w:caps w:val="0"/>
      <w:sz w:val="52"/>
    </w:rPr>
  </w:style>
  <w:style w:type="character" w:styleId="Feloldatlanmegemlts">
    <w:name w:val="Unresolved Mention"/>
    <w:basedOn w:val="Bekezdsalapbettpusa"/>
    <w:uiPriority w:val="99"/>
    <w:semiHidden/>
    <w:unhideWhenUsed/>
    <w:rsid w:val="00870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9R0980-20200917" TargetMode="External"/><Relationship Id="rId13" Type="http://schemas.openxmlformats.org/officeDocument/2006/relationships/hyperlink" Target="https://www.esma.europa.eu/sites/default/files/2026-05/ESMA32-753890202-3084_Statement_on_Prospectus_Requirements_in_the_Period_Prior_to_the_Amendments_to_the_Delegated_Regulation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transparency/documents-register/detail?ref=C(2026)2876&amp;lang=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ma.europa.eu/sites/default/files/2026-05/ESMA32-753890202-3084_Statement_on_Prospectus_Requirements_in_the_Period_Prior_to_the_Amendments_to_the_Delegated_Regulatio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jktit@mnb.hu" TargetMode="External"/><Relationship Id="rId10" Type="http://schemas.openxmlformats.org/officeDocument/2006/relationships/hyperlink" Target="https://eur-lex.europa.eu/eli/reg/2024/2809/oj/e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c.europa.eu/info/law/better-regulation/have-your-say/initiatives/14499-Listing-Act-and-Prospectus-Regulation-alleviated-prospectus-and-supervisory-convergence-delegated-act-_en" TargetMode="External"/><Relationship Id="rId14" Type="http://schemas.openxmlformats.org/officeDocument/2006/relationships/hyperlink" Target="https://eur-lex.europa.eu/legal-content/HU/TXT/?uri=CELEX%3A02017R1129-20260605" TargetMode="Externa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Georgina Dr.</dc:creator>
  <cp:keywords/>
  <dc:description/>
  <cp:lastModifiedBy>Manhertz Zita Dr.</cp:lastModifiedBy>
  <cp:revision>5</cp:revision>
  <cp:lastPrinted>1900-12-31T23:00:00Z</cp:lastPrinted>
  <dcterms:created xsi:type="dcterms:W3CDTF">2026-06-15T07:38:00Z</dcterms:created>
  <dcterms:modified xsi:type="dcterms:W3CDTF">2026-06-15T07:46:00Z</dcterms:modified>
</cp:coreProperties>
</file>