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8E" w:rsidRDefault="00DF56FD" w:rsidP="00DF56FD">
      <w:pPr>
        <w:jc w:val="center"/>
        <w:rPr>
          <w:b/>
          <w:szCs w:val="20"/>
        </w:rPr>
      </w:pPr>
      <w:r w:rsidRPr="003F42B2">
        <w:rPr>
          <w:b/>
          <w:szCs w:val="20"/>
        </w:rPr>
        <w:t xml:space="preserve">Tájékoztató </w:t>
      </w:r>
    </w:p>
    <w:p w:rsidR="00DF56FD" w:rsidRPr="003F42B2" w:rsidRDefault="00DF56FD" w:rsidP="00DF56FD">
      <w:pPr>
        <w:jc w:val="center"/>
        <w:rPr>
          <w:b/>
          <w:szCs w:val="20"/>
        </w:rPr>
      </w:pPr>
      <w:r w:rsidRPr="003F42B2">
        <w:rPr>
          <w:b/>
          <w:szCs w:val="20"/>
        </w:rPr>
        <w:t>a havi fizetésimérleg</w:t>
      </w:r>
      <w:r w:rsidR="00272B8E">
        <w:rPr>
          <w:b/>
          <w:szCs w:val="20"/>
        </w:rPr>
        <w:t>-statisztikai</w:t>
      </w:r>
      <w:r w:rsidRPr="003F42B2">
        <w:rPr>
          <w:b/>
          <w:szCs w:val="20"/>
        </w:rPr>
        <w:t xml:space="preserve"> </w:t>
      </w:r>
      <w:r w:rsidR="00272B8E">
        <w:rPr>
          <w:b/>
          <w:szCs w:val="20"/>
        </w:rPr>
        <w:t>adatközlés bevezetéséről</w:t>
      </w:r>
    </w:p>
    <w:p w:rsidR="00DF56FD" w:rsidRDefault="00DF56FD" w:rsidP="00DF56FD">
      <w:pPr>
        <w:rPr>
          <w:szCs w:val="20"/>
        </w:rPr>
      </w:pPr>
    </w:p>
    <w:p w:rsidR="00DF56FD" w:rsidRDefault="00DF56FD" w:rsidP="00DF56FD">
      <w:pPr>
        <w:rPr>
          <w:szCs w:val="20"/>
        </w:rPr>
      </w:pPr>
      <w:r w:rsidRPr="008C7DE5">
        <w:rPr>
          <w:szCs w:val="20"/>
        </w:rPr>
        <w:t xml:space="preserve">Az új </w:t>
      </w:r>
      <w:r w:rsidR="00272B8E">
        <w:rPr>
          <w:szCs w:val="20"/>
        </w:rPr>
        <w:t xml:space="preserve">nemzetközi statisztikai </w:t>
      </w:r>
      <w:r w:rsidRPr="008C7DE5">
        <w:rPr>
          <w:szCs w:val="20"/>
        </w:rPr>
        <w:t>módszertan</w:t>
      </w:r>
      <w:r w:rsidR="00272B8E">
        <w:rPr>
          <w:szCs w:val="20"/>
        </w:rPr>
        <w:t>ra</w:t>
      </w:r>
      <w:r w:rsidRPr="008C7DE5">
        <w:rPr>
          <w:szCs w:val="20"/>
        </w:rPr>
        <w:t xml:space="preserve"> </w:t>
      </w:r>
      <w:r w:rsidR="00272B8E">
        <w:rPr>
          <w:szCs w:val="20"/>
        </w:rPr>
        <w:t>(</w:t>
      </w:r>
      <w:r w:rsidR="00272B8E" w:rsidRPr="00272B8E">
        <w:rPr>
          <w:i/>
          <w:szCs w:val="20"/>
        </w:rPr>
        <w:t>Balance of Payments and International Investment Position Manual, Sixth Edition</w:t>
      </w:r>
      <w:r w:rsidR="00272B8E">
        <w:rPr>
          <w:szCs w:val="20"/>
        </w:rPr>
        <w:t xml:space="preserve"> [BPM6]) való 2014. júniusi </w:t>
      </w:r>
      <w:r w:rsidRPr="008C7DE5">
        <w:rPr>
          <w:szCs w:val="20"/>
        </w:rPr>
        <w:t>átállás</w:t>
      </w:r>
      <w:r>
        <w:rPr>
          <w:szCs w:val="20"/>
        </w:rPr>
        <w:t xml:space="preserve">tól kezdődően </w:t>
      </w:r>
      <w:r w:rsidRPr="008C7DE5">
        <w:rPr>
          <w:szCs w:val="20"/>
        </w:rPr>
        <w:t>az MNB a honlapján</w:t>
      </w:r>
      <w:r w:rsidR="00F22CCD">
        <w:rPr>
          <w:szCs w:val="20"/>
        </w:rPr>
        <w:t xml:space="preserve"> -</w:t>
      </w:r>
      <w:r w:rsidR="00272B8E">
        <w:rPr>
          <w:szCs w:val="20"/>
        </w:rPr>
        <w:t xml:space="preserve"> </w:t>
      </w:r>
      <w:r w:rsidR="00272B8E" w:rsidRPr="00272B8E">
        <w:rPr>
          <w:szCs w:val="20"/>
        </w:rPr>
        <w:t>a negyedéves publikáció mellett</w:t>
      </w:r>
      <w:r w:rsidR="00272B8E" w:rsidRPr="008C7DE5">
        <w:rPr>
          <w:szCs w:val="20"/>
        </w:rPr>
        <w:t xml:space="preserve"> </w:t>
      </w:r>
      <w:r w:rsidR="00F22CCD">
        <w:rPr>
          <w:szCs w:val="20"/>
        </w:rPr>
        <w:t>-</w:t>
      </w:r>
      <w:r w:rsidR="00272B8E">
        <w:rPr>
          <w:szCs w:val="20"/>
        </w:rPr>
        <w:t xml:space="preserve"> </w:t>
      </w:r>
      <w:r w:rsidRPr="008C7DE5">
        <w:rPr>
          <w:szCs w:val="20"/>
        </w:rPr>
        <w:t xml:space="preserve">közzétesz </w:t>
      </w:r>
      <w:r w:rsidRPr="00472C5C">
        <w:rPr>
          <w:b/>
          <w:szCs w:val="20"/>
        </w:rPr>
        <w:t xml:space="preserve">havi fizetési mérleg </w:t>
      </w:r>
      <w:r w:rsidRPr="00EC0289">
        <w:rPr>
          <w:szCs w:val="20"/>
        </w:rPr>
        <w:t>adatokat is</w:t>
      </w:r>
      <w:r w:rsidR="00F318DA" w:rsidRPr="00272B8E">
        <w:rPr>
          <w:rStyle w:val="FootnoteReference"/>
          <w:szCs w:val="20"/>
        </w:rPr>
        <w:footnoteReference w:id="1"/>
      </w:r>
      <w:r w:rsidRPr="00EC0289">
        <w:rPr>
          <w:szCs w:val="20"/>
        </w:rPr>
        <w:t>.</w:t>
      </w:r>
      <w:r>
        <w:rPr>
          <w:szCs w:val="20"/>
        </w:rPr>
        <w:t xml:space="preserve"> </w:t>
      </w:r>
      <w:r w:rsidR="00EC0289">
        <w:rPr>
          <w:szCs w:val="20"/>
        </w:rPr>
        <w:t xml:space="preserve">2014. július 14-én </w:t>
      </w:r>
      <w:r w:rsidR="00F22CCD">
        <w:rPr>
          <w:szCs w:val="20"/>
        </w:rPr>
        <w:t xml:space="preserve">- </w:t>
      </w:r>
      <w:r w:rsidR="00EC0289">
        <w:rPr>
          <w:szCs w:val="20"/>
        </w:rPr>
        <w:t xml:space="preserve">az első közzététel során </w:t>
      </w:r>
      <w:r w:rsidR="00F22CCD">
        <w:rPr>
          <w:szCs w:val="20"/>
        </w:rPr>
        <w:t xml:space="preserve">- </w:t>
      </w:r>
      <w:r>
        <w:rPr>
          <w:szCs w:val="20"/>
        </w:rPr>
        <w:t>a</w:t>
      </w:r>
      <w:r w:rsidR="00EC0289">
        <w:rPr>
          <w:szCs w:val="20"/>
        </w:rPr>
        <w:t xml:space="preserve"> 2014.</w:t>
      </w:r>
      <w:r>
        <w:rPr>
          <w:szCs w:val="20"/>
        </w:rPr>
        <w:t xml:space="preserve"> áprilisi és májusi </w:t>
      </w:r>
      <w:r w:rsidR="00EC0289">
        <w:rPr>
          <w:szCs w:val="20"/>
        </w:rPr>
        <w:t xml:space="preserve">adatok </w:t>
      </w:r>
      <w:r w:rsidR="00F22CCD">
        <w:rPr>
          <w:szCs w:val="20"/>
        </w:rPr>
        <w:t xml:space="preserve">kerülnek </w:t>
      </w:r>
      <w:r w:rsidR="00EC0289">
        <w:rPr>
          <w:szCs w:val="20"/>
        </w:rPr>
        <w:t>publikál</w:t>
      </w:r>
      <w:r w:rsidR="00F22CCD">
        <w:rPr>
          <w:szCs w:val="20"/>
        </w:rPr>
        <w:t>ásra</w:t>
      </w:r>
      <w:r>
        <w:rPr>
          <w:szCs w:val="20"/>
        </w:rPr>
        <w:t>.</w:t>
      </w:r>
      <w:r w:rsidRPr="008C7DE5">
        <w:rPr>
          <w:szCs w:val="20"/>
        </w:rPr>
        <w:t xml:space="preserve"> </w:t>
      </w:r>
      <w:r>
        <w:rPr>
          <w:szCs w:val="20"/>
        </w:rPr>
        <w:t>A</w:t>
      </w:r>
      <w:r w:rsidRPr="00CF5906">
        <w:rPr>
          <w:szCs w:val="20"/>
        </w:rPr>
        <w:t xml:space="preserve"> </w:t>
      </w:r>
      <w:r w:rsidRPr="00F22CCD">
        <w:rPr>
          <w:szCs w:val="20"/>
        </w:rPr>
        <w:t>havi adatközlés</w:t>
      </w:r>
      <w:r w:rsidRPr="00CF5906">
        <w:rPr>
          <w:szCs w:val="20"/>
        </w:rPr>
        <w:t xml:space="preserve"> célja, hogy a tárgyidőszakot követő lehető </w:t>
      </w:r>
      <w:r>
        <w:rPr>
          <w:szCs w:val="20"/>
        </w:rPr>
        <w:t>legrövidebb időn belül</w:t>
      </w:r>
      <w:r w:rsidRPr="00CF5906">
        <w:rPr>
          <w:szCs w:val="20"/>
        </w:rPr>
        <w:t xml:space="preserve"> </w:t>
      </w:r>
      <w:r>
        <w:rPr>
          <w:szCs w:val="20"/>
        </w:rPr>
        <w:t>(a</w:t>
      </w:r>
      <w:r w:rsidR="00F22CCD">
        <w:rPr>
          <w:szCs w:val="20"/>
        </w:rPr>
        <w:t xml:space="preserve"> tájékoztatási naptárban megjelölt időpontokban</w:t>
      </w:r>
      <w:r>
        <w:rPr>
          <w:szCs w:val="20"/>
        </w:rPr>
        <w:t xml:space="preserve">) </w:t>
      </w:r>
      <w:r w:rsidRPr="00CF5906">
        <w:rPr>
          <w:szCs w:val="20"/>
        </w:rPr>
        <w:t>adjon tájékoztatást a felhasználók számára a külfölddel kapcsolatos reálgazdasági és finanszírozási folyamatok alakulásáról.</w:t>
      </w:r>
      <w:r>
        <w:rPr>
          <w:szCs w:val="20"/>
        </w:rPr>
        <w:t xml:space="preserve"> </w:t>
      </w:r>
    </w:p>
    <w:p w:rsidR="00DF56FD" w:rsidRPr="00FB48CF" w:rsidRDefault="00DF56FD" w:rsidP="00DF56FD">
      <w:pPr>
        <w:rPr>
          <w:b/>
          <w:szCs w:val="20"/>
        </w:rPr>
      </w:pPr>
      <w:r w:rsidRPr="00FB48CF">
        <w:rPr>
          <w:b/>
          <w:szCs w:val="20"/>
        </w:rPr>
        <w:t>A havi publikációs táblák tartalma</w:t>
      </w:r>
    </w:p>
    <w:p w:rsidR="00DF56FD" w:rsidRDefault="00DF56FD" w:rsidP="00DF56FD">
      <w:pPr>
        <w:rPr>
          <w:szCs w:val="20"/>
        </w:rPr>
      </w:pPr>
      <w:r>
        <w:rPr>
          <w:szCs w:val="20"/>
        </w:rPr>
        <w:t xml:space="preserve">A havonta megjelenő publikációs táblák </w:t>
      </w:r>
      <w:r w:rsidRPr="00C82290">
        <w:rPr>
          <w:b/>
          <w:szCs w:val="20"/>
        </w:rPr>
        <w:t xml:space="preserve">első </w:t>
      </w:r>
      <w:r w:rsidR="00CB184C">
        <w:rPr>
          <w:b/>
          <w:szCs w:val="20"/>
        </w:rPr>
        <w:t>munkalapja</w:t>
      </w:r>
      <w:r>
        <w:rPr>
          <w:szCs w:val="20"/>
        </w:rPr>
        <w:t xml:space="preserve"> tartalmazza a </w:t>
      </w:r>
      <w:r w:rsidRPr="00985549">
        <w:rPr>
          <w:szCs w:val="20"/>
        </w:rPr>
        <w:t>BPM6 módszertan szerint a</w:t>
      </w:r>
      <w:r w:rsidRPr="0059082C">
        <w:rPr>
          <w:b/>
          <w:szCs w:val="20"/>
        </w:rPr>
        <w:t xml:space="preserve"> </w:t>
      </w:r>
      <w:r w:rsidRPr="00985549">
        <w:rPr>
          <w:szCs w:val="20"/>
        </w:rPr>
        <w:t xml:space="preserve">fizetésimérleg-statisztika </w:t>
      </w:r>
      <w:r w:rsidRPr="00985549">
        <w:rPr>
          <w:b/>
          <w:szCs w:val="20"/>
        </w:rPr>
        <w:t xml:space="preserve">folyó és tőkemérleg </w:t>
      </w:r>
      <w:r w:rsidR="00985549" w:rsidRPr="00985549">
        <w:rPr>
          <w:b/>
          <w:szCs w:val="20"/>
        </w:rPr>
        <w:t xml:space="preserve">főbb </w:t>
      </w:r>
      <w:r w:rsidRPr="00985549">
        <w:rPr>
          <w:b/>
          <w:szCs w:val="20"/>
        </w:rPr>
        <w:t>tételeit</w:t>
      </w:r>
      <w:r w:rsidRPr="00985549">
        <w:rPr>
          <w:szCs w:val="20"/>
        </w:rPr>
        <w:t xml:space="preserve"> bevétel,</w:t>
      </w:r>
      <w:r w:rsidR="00985549" w:rsidRPr="00985549">
        <w:rPr>
          <w:szCs w:val="20"/>
        </w:rPr>
        <w:t xml:space="preserve"> </w:t>
      </w:r>
      <w:r w:rsidRPr="00985549">
        <w:rPr>
          <w:szCs w:val="20"/>
        </w:rPr>
        <w:t xml:space="preserve">kiadás, egyenleg, </w:t>
      </w:r>
      <w:r w:rsidR="00985549" w:rsidRPr="00985549">
        <w:rPr>
          <w:szCs w:val="20"/>
        </w:rPr>
        <w:t xml:space="preserve">valamint a </w:t>
      </w:r>
      <w:r w:rsidRPr="00985549">
        <w:rPr>
          <w:b/>
          <w:szCs w:val="20"/>
        </w:rPr>
        <w:t>pénzügyi mérleg instrumentumait</w:t>
      </w:r>
      <w:r w:rsidRPr="00985549">
        <w:rPr>
          <w:szCs w:val="20"/>
        </w:rPr>
        <w:t xml:space="preserve"> követelés</w:t>
      </w:r>
      <w:r w:rsidR="00985549" w:rsidRPr="00985549">
        <w:rPr>
          <w:szCs w:val="20"/>
        </w:rPr>
        <w:t xml:space="preserve">, </w:t>
      </w:r>
      <w:r w:rsidRPr="00985549">
        <w:rPr>
          <w:szCs w:val="20"/>
        </w:rPr>
        <w:t>tartozás, nettó követelés változás bontásban.</w:t>
      </w:r>
      <w:r>
        <w:rPr>
          <w:szCs w:val="20"/>
        </w:rPr>
        <w:t xml:space="preserve"> </w:t>
      </w:r>
      <w:r w:rsidR="00985549">
        <w:rPr>
          <w:szCs w:val="20"/>
        </w:rPr>
        <w:t>Itt ugyancsak</w:t>
      </w:r>
      <w:r>
        <w:rPr>
          <w:szCs w:val="20"/>
        </w:rPr>
        <w:t xml:space="preserve"> megtalálhatók a</w:t>
      </w:r>
      <w:r w:rsidRPr="0059082C">
        <w:rPr>
          <w:b/>
          <w:szCs w:val="20"/>
        </w:rPr>
        <w:t xml:space="preserve"> felülről </w:t>
      </w:r>
      <w:r w:rsidR="00985549" w:rsidRPr="00985549">
        <w:rPr>
          <w:szCs w:val="20"/>
        </w:rPr>
        <w:t xml:space="preserve">(folyó fizetési mérleg+tőkemérleg) </w:t>
      </w:r>
      <w:r w:rsidRPr="0059082C">
        <w:rPr>
          <w:b/>
          <w:szCs w:val="20"/>
        </w:rPr>
        <w:t xml:space="preserve">és alulról </w:t>
      </w:r>
      <w:r w:rsidR="00985549" w:rsidRPr="00985549">
        <w:rPr>
          <w:szCs w:val="20"/>
        </w:rPr>
        <w:t>(pénzügyi mérleg)</w:t>
      </w:r>
      <w:r w:rsidR="00985549">
        <w:rPr>
          <w:b/>
          <w:szCs w:val="20"/>
        </w:rPr>
        <w:t xml:space="preserve"> </w:t>
      </w:r>
      <w:r w:rsidRPr="0059082C">
        <w:rPr>
          <w:b/>
          <w:szCs w:val="20"/>
        </w:rPr>
        <w:t>számított finanszírozási képesség</w:t>
      </w:r>
      <w:r>
        <w:rPr>
          <w:szCs w:val="20"/>
        </w:rPr>
        <w:t xml:space="preserve"> adatai. </w:t>
      </w:r>
    </w:p>
    <w:p w:rsidR="00DF56FD" w:rsidRDefault="005305EA" w:rsidP="00DF56FD">
      <w:pPr>
        <w:rPr>
          <w:szCs w:val="20"/>
        </w:rPr>
      </w:pPr>
      <w:r w:rsidRPr="005305EA">
        <w:rPr>
          <w:szCs w:val="20"/>
        </w:rPr>
        <w:t xml:space="preserve">Tájékoztató adatként </w:t>
      </w:r>
      <w:r w:rsidR="00DF56FD" w:rsidRPr="005305EA">
        <w:rPr>
          <w:szCs w:val="20"/>
        </w:rPr>
        <w:t xml:space="preserve">bemutatjuk </w:t>
      </w:r>
      <w:r w:rsidR="00DF56FD" w:rsidRPr="003A1C35">
        <w:rPr>
          <w:b/>
          <w:szCs w:val="20"/>
        </w:rPr>
        <w:t>az EU-</w:t>
      </w:r>
      <w:r w:rsidRPr="003A1C35">
        <w:rPr>
          <w:b/>
          <w:szCs w:val="20"/>
        </w:rPr>
        <w:t>val kapcsolatos</w:t>
      </w:r>
      <w:r w:rsidR="00DF56FD" w:rsidRPr="003A1C35">
        <w:rPr>
          <w:b/>
          <w:szCs w:val="20"/>
        </w:rPr>
        <w:t xml:space="preserve"> tranzakciókat</w:t>
      </w:r>
      <w:r w:rsidRPr="005305EA">
        <w:rPr>
          <w:szCs w:val="20"/>
        </w:rPr>
        <w:t xml:space="preserve"> (kapott támogatások eredményszemléletű elszámolása és befizetések</w:t>
      </w:r>
      <w:r w:rsidR="00F318DA" w:rsidRPr="005305EA">
        <w:rPr>
          <w:szCs w:val="20"/>
        </w:rPr>
        <w:t>) aszerint</w:t>
      </w:r>
      <w:r w:rsidRPr="005305EA">
        <w:rPr>
          <w:szCs w:val="20"/>
        </w:rPr>
        <w:t xml:space="preserve">, hogy a fizetési mérleg mely instrumentumán </w:t>
      </w:r>
      <w:r w:rsidR="003A1C35">
        <w:rPr>
          <w:szCs w:val="20"/>
        </w:rPr>
        <w:t>jelennek meg. A</w:t>
      </w:r>
      <w:r w:rsidR="00DF56FD">
        <w:rPr>
          <w:szCs w:val="20"/>
        </w:rPr>
        <w:t>z</w:t>
      </w:r>
      <w:r w:rsidR="00DF56FD" w:rsidRPr="00DC76F6">
        <w:rPr>
          <w:szCs w:val="20"/>
        </w:rPr>
        <w:t xml:space="preserve"> </w:t>
      </w:r>
      <w:r w:rsidR="00DF56FD">
        <w:rPr>
          <w:szCs w:val="20"/>
        </w:rPr>
        <w:t xml:space="preserve">Európai Uniótól kapott transzferek megjelenhetnek </w:t>
      </w:r>
      <w:r w:rsidR="003A1C35">
        <w:rPr>
          <w:szCs w:val="20"/>
        </w:rPr>
        <w:t xml:space="preserve">az </w:t>
      </w:r>
      <w:r w:rsidR="00DF56FD">
        <w:rPr>
          <w:szCs w:val="20"/>
        </w:rPr>
        <w:t xml:space="preserve">elsődleges és másodlagos jövedelmeken, </w:t>
      </w:r>
      <w:r w:rsidR="003A1C35">
        <w:rPr>
          <w:szCs w:val="20"/>
        </w:rPr>
        <w:t xml:space="preserve">illetve </w:t>
      </w:r>
      <w:r w:rsidR="00DF56FD">
        <w:rPr>
          <w:szCs w:val="20"/>
        </w:rPr>
        <w:t>tőketranszferk</w:t>
      </w:r>
      <w:r w:rsidR="003A1C35">
        <w:rPr>
          <w:szCs w:val="20"/>
        </w:rPr>
        <w:t>ént.</w:t>
      </w:r>
      <w:r w:rsidR="00DF56FD">
        <w:rPr>
          <w:szCs w:val="20"/>
        </w:rPr>
        <w:t xml:space="preserve"> </w:t>
      </w:r>
      <w:r w:rsidR="003A1C35">
        <w:rPr>
          <w:szCs w:val="20"/>
        </w:rPr>
        <w:t>Az eredményszemléletű elszámolás következtében</w:t>
      </w:r>
      <w:r w:rsidR="00DF56FD" w:rsidRPr="00035E55">
        <w:rPr>
          <w:szCs w:val="20"/>
        </w:rPr>
        <w:t xml:space="preserve"> </w:t>
      </w:r>
      <w:r w:rsidR="003A1C35">
        <w:rPr>
          <w:szCs w:val="20"/>
        </w:rPr>
        <w:t xml:space="preserve">a </w:t>
      </w:r>
      <w:r w:rsidR="00DF56FD">
        <w:rPr>
          <w:szCs w:val="20"/>
        </w:rPr>
        <w:t>központi kormányzatnak az</w:t>
      </w:r>
      <w:r w:rsidR="00DF56FD" w:rsidRPr="00602F14">
        <w:rPr>
          <w:szCs w:val="20"/>
        </w:rPr>
        <w:t xml:space="preserve"> </w:t>
      </w:r>
      <w:r w:rsidR="00DF56FD">
        <w:rPr>
          <w:szCs w:val="20"/>
        </w:rPr>
        <w:t>Európai Unió folyósítása és a kedvezményezett szektorok felhasználása között kötelezettsége, míg megelőlegezett kifizetéskor követelése keletkezik az Európai Unióval szemben.</w:t>
      </w:r>
      <w:r w:rsidR="003A1C35">
        <w:rPr>
          <w:szCs w:val="20"/>
        </w:rPr>
        <w:t xml:space="preserve"> </w:t>
      </w:r>
      <w:r w:rsidR="00F318DA">
        <w:rPr>
          <w:szCs w:val="20"/>
        </w:rPr>
        <w:t>Ezek</w:t>
      </w:r>
      <w:r w:rsidR="003A1C35">
        <w:rPr>
          <w:szCs w:val="20"/>
        </w:rPr>
        <w:t xml:space="preserve"> a tételek jelennek meg a pénzügyi mérlegben.</w:t>
      </w:r>
    </w:p>
    <w:p w:rsidR="00DF56FD" w:rsidRDefault="00C82290" w:rsidP="00DF56FD">
      <w:pPr>
        <w:rPr>
          <w:szCs w:val="20"/>
        </w:rPr>
      </w:pPr>
      <w:r>
        <w:rPr>
          <w:szCs w:val="20"/>
        </w:rPr>
        <w:t>A</w:t>
      </w:r>
      <w:r w:rsidR="00DF56FD">
        <w:rPr>
          <w:szCs w:val="20"/>
        </w:rPr>
        <w:t xml:space="preserve"> </w:t>
      </w:r>
      <w:r w:rsidR="00DF56FD" w:rsidRPr="0036389B">
        <w:rPr>
          <w:b/>
          <w:szCs w:val="20"/>
        </w:rPr>
        <w:t xml:space="preserve">második </w:t>
      </w:r>
      <w:r w:rsidR="00CB184C">
        <w:rPr>
          <w:b/>
          <w:szCs w:val="20"/>
        </w:rPr>
        <w:t>munkalap</w:t>
      </w:r>
      <w:r w:rsidR="00DF56FD">
        <w:rPr>
          <w:szCs w:val="20"/>
        </w:rPr>
        <w:t xml:space="preserve"> </w:t>
      </w:r>
      <w:r>
        <w:rPr>
          <w:szCs w:val="20"/>
        </w:rPr>
        <w:t xml:space="preserve">szektorbontásban </w:t>
      </w:r>
      <w:r w:rsidR="00DF56FD">
        <w:rPr>
          <w:szCs w:val="20"/>
        </w:rPr>
        <w:t xml:space="preserve">mutatja </w:t>
      </w:r>
      <w:r>
        <w:rPr>
          <w:szCs w:val="20"/>
        </w:rPr>
        <w:t xml:space="preserve">be </w:t>
      </w:r>
      <w:r w:rsidR="00DF56FD" w:rsidRPr="0036389B">
        <w:rPr>
          <w:b/>
          <w:szCs w:val="20"/>
        </w:rPr>
        <w:t xml:space="preserve">a pénzügyi mérleg </w:t>
      </w:r>
      <w:r w:rsidRPr="00C82290">
        <w:rPr>
          <w:szCs w:val="20"/>
        </w:rPr>
        <w:t>egyes</w:t>
      </w:r>
      <w:r>
        <w:rPr>
          <w:b/>
          <w:szCs w:val="20"/>
        </w:rPr>
        <w:t xml:space="preserve"> </w:t>
      </w:r>
      <w:r w:rsidR="00DF56FD" w:rsidRPr="00C82290">
        <w:rPr>
          <w:szCs w:val="20"/>
        </w:rPr>
        <w:t>tételeinek</w:t>
      </w:r>
      <w:r>
        <w:rPr>
          <w:szCs w:val="20"/>
        </w:rPr>
        <w:t xml:space="preserve"> és az összevont nettó pozícióknak az alakulását.</w:t>
      </w:r>
    </w:p>
    <w:p w:rsidR="00DF56FD" w:rsidRDefault="00DF56FD" w:rsidP="00DF56FD">
      <w:pPr>
        <w:rPr>
          <w:szCs w:val="20"/>
        </w:rPr>
      </w:pPr>
      <w:r>
        <w:rPr>
          <w:szCs w:val="20"/>
        </w:rPr>
        <w:t xml:space="preserve">A BPM6 módszertan szerint a </w:t>
      </w:r>
      <w:r w:rsidRPr="0036389B">
        <w:rPr>
          <w:b/>
          <w:szCs w:val="20"/>
        </w:rPr>
        <w:t>közvetlentőke-befektetésekre</w:t>
      </w:r>
      <w:r>
        <w:rPr>
          <w:szCs w:val="20"/>
        </w:rPr>
        <w:t xml:space="preserve"> is</w:t>
      </w:r>
      <w:r w:rsidRPr="00041453">
        <w:rPr>
          <w:szCs w:val="20"/>
        </w:rPr>
        <w:t xml:space="preserve"> </w:t>
      </w:r>
      <w:r w:rsidRPr="00E911EC">
        <w:rPr>
          <w:szCs w:val="20"/>
        </w:rPr>
        <w:t>a követelés-tartozás szerinti megbontás</w:t>
      </w:r>
      <w:r>
        <w:rPr>
          <w:szCs w:val="20"/>
        </w:rPr>
        <w:t xml:space="preserve">t alkalmazzuk a fizetési mérleg standard prezentációjában (első tábla), megegyezően a pénzügyi mérleg további instrumentumainak fő bontásával. Azonban továbbra is közzé kívánjuk tenni a felhasználók által megszokott és elemzett </w:t>
      </w:r>
      <w:r w:rsidRPr="0036389B">
        <w:rPr>
          <w:b/>
          <w:szCs w:val="20"/>
        </w:rPr>
        <w:t xml:space="preserve">befektetési irány szerinti </w:t>
      </w:r>
      <w:r>
        <w:rPr>
          <w:b/>
          <w:szCs w:val="20"/>
        </w:rPr>
        <w:t xml:space="preserve">közvetlentőke-befektetés </w:t>
      </w:r>
      <w:r w:rsidRPr="0036389B">
        <w:rPr>
          <w:b/>
          <w:szCs w:val="20"/>
        </w:rPr>
        <w:t>adatokat</w:t>
      </w:r>
      <w:r>
        <w:rPr>
          <w:szCs w:val="20"/>
        </w:rPr>
        <w:t xml:space="preserve"> is, ezek a havi publikációs tábla </w:t>
      </w:r>
      <w:r w:rsidR="00CB184C">
        <w:rPr>
          <w:b/>
          <w:szCs w:val="20"/>
        </w:rPr>
        <w:t>harmadik</w:t>
      </w:r>
      <w:r w:rsidRPr="0036389B">
        <w:rPr>
          <w:b/>
          <w:szCs w:val="20"/>
        </w:rPr>
        <w:t xml:space="preserve"> munkalapján</w:t>
      </w:r>
      <w:r>
        <w:rPr>
          <w:szCs w:val="20"/>
        </w:rPr>
        <w:t xml:space="preserve"> találhatók meg. Itt is törekedtünk arra, hogy publikáljuk az igényelt bontásokat, ezért mindkét befektetési irányban a részvény és egyéb részesedéseket megadjuk bruttó módon is (növekedés/csökkenés), hogy érzékelhető legyen, hogy az adott időszaki részvénybefektetés </w:t>
      </w:r>
      <w:r w:rsidR="00B03412">
        <w:rPr>
          <w:szCs w:val="20"/>
        </w:rPr>
        <w:t xml:space="preserve">egyenleg </w:t>
      </w:r>
      <w:r>
        <w:rPr>
          <w:szCs w:val="20"/>
        </w:rPr>
        <w:t>mekkora összbefektetés és tőkekivonás eredőjeként alakult</w:t>
      </w:r>
      <w:r w:rsidR="00B03412">
        <w:rPr>
          <w:szCs w:val="20"/>
        </w:rPr>
        <w:t xml:space="preserve"> ki</w:t>
      </w:r>
      <w:r>
        <w:rPr>
          <w:szCs w:val="20"/>
        </w:rPr>
        <w:t xml:space="preserve">. A közvetlentőke-befektetések elemzéséhez fontos a normál vállalati körben előforduló </w:t>
      </w:r>
      <w:r w:rsidRPr="0036389B">
        <w:rPr>
          <w:b/>
          <w:szCs w:val="20"/>
        </w:rPr>
        <w:t>átfolyó tőkétől és eszközportfólió átrendezéstől</w:t>
      </w:r>
      <w:r w:rsidR="00B03412">
        <w:rPr>
          <w:b/>
          <w:szCs w:val="20"/>
        </w:rPr>
        <w:t xml:space="preserve"> </w:t>
      </w:r>
      <w:r w:rsidRPr="0036389B">
        <w:rPr>
          <w:b/>
          <w:szCs w:val="20"/>
        </w:rPr>
        <w:t xml:space="preserve">megtisztított </w:t>
      </w:r>
      <w:r w:rsidRPr="00B03412">
        <w:rPr>
          <w:szCs w:val="20"/>
        </w:rPr>
        <w:t>befektetés nagyságának</w:t>
      </w:r>
      <w:r>
        <w:rPr>
          <w:szCs w:val="20"/>
        </w:rPr>
        <w:t xml:space="preserve"> az ismerete, ezért </w:t>
      </w:r>
      <w:r w:rsidR="00CB184C">
        <w:rPr>
          <w:szCs w:val="20"/>
        </w:rPr>
        <w:t xml:space="preserve">ugyanezen oldalon </w:t>
      </w:r>
      <w:r>
        <w:rPr>
          <w:szCs w:val="20"/>
        </w:rPr>
        <w:t xml:space="preserve">ezt </w:t>
      </w:r>
      <w:r w:rsidR="00B03412">
        <w:rPr>
          <w:szCs w:val="20"/>
        </w:rPr>
        <w:t xml:space="preserve">az információt is közzétesszük </w:t>
      </w:r>
      <w:r>
        <w:rPr>
          <w:szCs w:val="20"/>
        </w:rPr>
        <w:t>a havi publikációban.</w:t>
      </w:r>
    </w:p>
    <w:p w:rsidR="00DF56FD" w:rsidRDefault="00CB184C" w:rsidP="00DF56FD">
      <w:pPr>
        <w:rPr>
          <w:szCs w:val="20"/>
        </w:rPr>
      </w:pPr>
      <w:r>
        <w:rPr>
          <w:szCs w:val="20"/>
        </w:rPr>
        <w:lastRenderedPageBreak/>
        <w:t xml:space="preserve">Fel kell hívnunk azonban felhasználóink figyelmét </w:t>
      </w:r>
      <w:r w:rsidR="00DF56FD">
        <w:rPr>
          <w:szCs w:val="20"/>
        </w:rPr>
        <w:t xml:space="preserve">a </w:t>
      </w:r>
      <w:r w:rsidR="00DF56FD" w:rsidRPr="000B20C1">
        <w:rPr>
          <w:b/>
          <w:szCs w:val="20"/>
        </w:rPr>
        <w:t>havi adatokban rejlő korlátok</w:t>
      </w:r>
      <w:r w:rsidR="00DF56FD">
        <w:rPr>
          <w:szCs w:val="20"/>
        </w:rPr>
        <w:t>r</w:t>
      </w:r>
      <w:r>
        <w:rPr>
          <w:szCs w:val="20"/>
        </w:rPr>
        <w:t>a is. A negyedéves</w:t>
      </w:r>
      <w:r w:rsidR="002F3768">
        <w:rPr>
          <w:szCs w:val="20"/>
        </w:rPr>
        <w:t>hez</w:t>
      </w:r>
      <w:r>
        <w:rPr>
          <w:szCs w:val="20"/>
        </w:rPr>
        <w:t xml:space="preserve"> képest</w:t>
      </w:r>
      <w:r w:rsidR="00DF56FD">
        <w:rPr>
          <w:szCs w:val="20"/>
        </w:rPr>
        <w:t xml:space="preserve"> </w:t>
      </w:r>
      <w:r>
        <w:rPr>
          <w:szCs w:val="20"/>
        </w:rPr>
        <w:t xml:space="preserve">a </w:t>
      </w:r>
      <w:r w:rsidR="00DF56FD">
        <w:rPr>
          <w:szCs w:val="20"/>
        </w:rPr>
        <w:t xml:space="preserve">havi </w:t>
      </w:r>
      <w:r w:rsidR="002F3768">
        <w:rPr>
          <w:szCs w:val="20"/>
        </w:rPr>
        <w:t>adatok</w:t>
      </w:r>
      <w:r w:rsidR="00DF56FD">
        <w:rPr>
          <w:szCs w:val="20"/>
        </w:rPr>
        <w:t xml:space="preserve"> </w:t>
      </w:r>
      <w:r w:rsidR="00DF56FD" w:rsidRPr="000B20C1">
        <w:rPr>
          <w:b/>
          <w:szCs w:val="20"/>
        </w:rPr>
        <w:t>több becslés</w:t>
      </w:r>
      <w:r w:rsidR="00DF56FD" w:rsidRPr="008C7DE5">
        <w:rPr>
          <w:szCs w:val="20"/>
        </w:rPr>
        <w:t>t tartalmaznak</w:t>
      </w:r>
      <w:r w:rsidR="00DF56FD">
        <w:rPr>
          <w:szCs w:val="20"/>
        </w:rPr>
        <w:t xml:space="preserve">, illetve </w:t>
      </w:r>
      <w:r w:rsidR="008A7757">
        <w:rPr>
          <w:szCs w:val="20"/>
        </w:rPr>
        <w:t xml:space="preserve">kisebb létszámú </w:t>
      </w:r>
      <w:r w:rsidR="00DF56FD">
        <w:rPr>
          <w:szCs w:val="20"/>
        </w:rPr>
        <w:t>a havi adatszolgáltató</w:t>
      </w:r>
      <w:r w:rsidR="008A7757">
        <w:rPr>
          <w:szCs w:val="20"/>
        </w:rPr>
        <w:t>i kör, ami alapján a statisztika összeállításra kerül</w:t>
      </w:r>
      <w:r w:rsidR="00DF56FD">
        <w:rPr>
          <w:szCs w:val="20"/>
        </w:rPr>
        <w:t>.</w:t>
      </w:r>
    </w:p>
    <w:p w:rsidR="00DF56FD" w:rsidRDefault="00DF56FD" w:rsidP="00DF56FD">
      <w:pPr>
        <w:rPr>
          <w:szCs w:val="20"/>
        </w:rPr>
      </w:pPr>
      <w:r w:rsidRPr="002F3768">
        <w:rPr>
          <w:szCs w:val="20"/>
        </w:rPr>
        <w:t xml:space="preserve">A havi </w:t>
      </w:r>
      <w:r w:rsidR="002F3768" w:rsidRPr="002F3768">
        <w:rPr>
          <w:szCs w:val="20"/>
        </w:rPr>
        <w:t>statisztikában</w:t>
      </w:r>
      <w:r w:rsidRPr="002F3768">
        <w:rPr>
          <w:szCs w:val="20"/>
        </w:rPr>
        <w:t xml:space="preserve"> </w:t>
      </w:r>
      <w:r w:rsidRPr="000C6986">
        <w:rPr>
          <w:b/>
          <w:szCs w:val="20"/>
        </w:rPr>
        <w:t>becs</w:t>
      </w:r>
      <w:r w:rsidR="002F3768" w:rsidRPr="000C6986">
        <w:rPr>
          <w:b/>
          <w:szCs w:val="20"/>
        </w:rPr>
        <w:t>ültek</w:t>
      </w:r>
      <w:r w:rsidRPr="000C6986">
        <w:rPr>
          <w:b/>
          <w:szCs w:val="20"/>
        </w:rPr>
        <w:t xml:space="preserve"> </w:t>
      </w:r>
      <w:r w:rsidRPr="002F3768">
        <w:rPr>
          <w:szCs w:val="20"/>
        </w:rPr>
        <w:t>az áruforgalom egyes összetevői</w:t>
      </w:r>
      <w:r w:rsidR="002F3768">
        <w:rPr>
          <w:szCs w:val="20"/>
        </w:rPr>
        <w:t xml:space="preserve"> és </w:t>
      </w:r>
      <w:r w:rsidRPr="002F3768">
        <w:rPr>
          <w:szCs w:val="20"/>
        </w:rPr>
        <w:t xml:space="preserve">a szolgáltatások egésze. Ugyanígy becslések a munkavállalói jövedelmek és bizonyos másodlagos jövedelmek adatai. Ezekre a tételekre a negyedéves KSH adatgyűjtésekből állnak rendelkezésre tényadatok a negyedéves </w:t>
      </w:r>
      <w:r w:rsidR="002F3768">
        <w:rPr>
          <w:szCs w:val="20"/>
        </w:rPr>
        <w:t xml:space="preserve">fizetési mérleg összeállításához. </w:t>
      </w:r>
      <w:r w:rsidRPr="008C7DE5">
        <w:rPr>
          <w:szCs w:val="20"/>
        </w:rPr>
        <w:t xml:space="preserve">  </w:t>
      </w:r>
    </w:p>
    <w:p w:rsidR="00DF56FD" w:rsidRDefault="00DF56FD" w:rsidP="00DF56FD">
      <w:pPr>
        <w:pStyle w:val="ListParagraph"/>
        <w:numPr>
          <w:ilvl w:val="0"/>
          <w:numId w:val="0"/>
        </w:numPr>
      </w:pPr>
      <w:r>
        <w:rPr>
          <w:szCs w:val="20"/>
        </w:rPr>
        <w:t xml:space="preserve">A pénzügyi mérleg tételei közül a </w:t>
      </w:r>
      <w:r w:rsidRPr="009F7019">
        <w:rPr>
          <w:b/>
          <w:szCs w:val="20"/>
        </w:rPr>
        <w:t>közvetlentőke-befektetéseknél</w:t>
      </w:r>
      <w:r>
        <w:rPr>
          <w:szCs w:val="20"/>
        </w:rPr>
        <w:t xml:space="preserve"> jellemző leginkább, hogy a </w:t>
      </w:r>
      <w:r w:rsidR="002F3768">
        <w:rPr>
          <w:szCs w:val="20"/>
        </w:rPr>
        <w:t xml:space="preserve">csak </w:t>
      </w:r>
      <w:r>
        <w:rPr>
          <w:szCs w:val="20"/>
        </w:rPr>
        <w:t>negyedéve</w:t>
      </w:r>
      <w:r w:rsidR="002F3768">
        <w:rPr>
          <w:szCs w:val="20"/>
        </w:rPr>
        <w:t>nte adatot szolgáltató vállalatoktól származó információk</w:t>
      </w:r>
      <w:r>
        <w:rPr>
          <w:szCs w:val="20"/>
        </w:rPr>
        <w:t xml:space="preserve"> miatt </w:t>
      </w:r>
      <w:r w:rsidR="002F3768">
        <w:rPr>
          <w:szCs w:val="20"/>
        </w:rPr>
        <w:t xml:space="preserve">jelentős lehet az eltérés </w:t>
      </w:r>
      <w:r>
        <w:rPr>
          <w:szCs w:val="20"/>
        </w:rPr>
        <w:t xml:space="preserve">a negyedévet alkotó 3 havi adat és a később publikálandó negyedéves adat között. Általában ehhez az instrumentumhoz kötődnek (de </w:t>
      </w:r>
      <w:r w:rsidR="00AE6E5B">
        <w:rPr>
          <w:szCs w:val="20"/>
        </w:rPr>
        <w:t>a többi esetében</w:t>
      </w:r>
      <w:r>
        <w:rPr>
          <w:szCs w:val="20"/>
        </w:rPr>
        <w:t xml:space="preserve"> is előfordulhatnak) </w:t>
      </w:r>
      <w:r w:rsidRPr="000C6986">
        <w:t>olyan egyedi bonyolult ügyletek, amelyek feltárása</w:t>
      </w:r>
      <w:r w:rsidR="00AE6E5B">
        <w:t>, ellenőrzése</w:t>
      </w:r>
      <w:r w:rsidRPr="000C6986">
        <w:t xml:space="preserve"> és </w:t>
      </w:r>
      <w:r w:rsidR="002F3768" w:rsidRPr="000C6986">
        <w:t>pontos</w:t>
      </w:r>
      <w:r w:rsidRPr="000C6986">
        <w:t xml:space="preserve"> statisztikai elszámolása több időt vesz igénybe, </w:t>
      </w:r>
      <w:r w:rsidR="002F3768">
        <w:t xml:space="preserve">ami szintén hozzájárulhat </w:t>
      </w:r>
      <w:r w:rsidRPr="00136728">
        <w:t xml:space="preserve">a </w:t>
      </w:r>
      <w:r>
        <w:t xml:space="preserve">negyedévet alkotó 3 </w:t>
      </w:r>
      <w:r w:rsidRPr="00136728">
        <w:t xml:space="preserve">havi és </w:t>
      </w:r>
      <w:r>
        <w:t>a későbbi negyedéves adat</w:t>
      </w:r>
      <w:r w:rsidR="002F3768">
        <w:t xml:space="preserve"> eltéréséhez</w:t>
      </w:r>
      <w:r>
        <w:t xml:space="preserve">. </w:t>
      </w:r>
    </w:p>
    <w:p w:rsidR="002F3768" w:rsidRDefault="002F3768" w:rsidP="00DF56FD">
      <w:pPr>
        <w:rPr>
          <w:szCs w:val="20"/>
        </w:rPr>
      </w:pPr>
      <w:r>
        <w:rPr>
          <w:szCs w:val="20"/>
        </w:rPr>
        <w:t xml:space="preserve">Ezen tényezők miatt </w:t>
      </w:r>
      <w:r w:rsidR="000C6986">
        <w:rPr>
          <w:szCs w:val="20"/>
        </w:rPr>
        <w:t xml:space="preserve">a speciális vállalatok </w:t>
      </w:r>
      <w:r w:rsidR="00F318DA">
        <w:rPr>
          <w:szCs w:val="20"/>
        </w:rPr>
        <w:t xml:space="preserve">nélküli </w:t>
      </w:r>
      <w:r w:rsidR="00F318DA" w:rsidRPr="008C7DE5">
        <w:rPr>
          <w:szCs w:val="20"/>
        </w:rPr>
        <w:t>havi</w:t>
      </w:r>
      <w:r w:rsidR="00DF56FD" w:rsidRPr="00472C5C">
        <w:rPr>
          <w:b/>
          <w:szCs w:val="20"/>
        </w:rPr>
        <w:t xml:space="preserve"> </w:t>
      </w:r>
      <w:r>
        <w:rPr>
          <w:b/>
          <w:szCs w:val="20"/>
        </w:rPr>
        <w:t>fizetésimérleg-</w:t>
      </w:r>
      <w:r w:rsidR="00DF56FD" w:rsidRPr="00472C5C">
        <w:rPr>
          <w:b/>
          <w:szCs w:val="20"/>
        </w:rPr>
        <w:t xml:space="preserve">adatokat </w:t>
      </w:r>
      <w:r>
        <w:rPr>
          <w:b/>
          <w:szCs w:val="20"/>
        </w:rPr>
        <w:t>(</w:t>
      </w:r>
      <w:r w:rsidRPr="002F3768">
        <w:rPr>
          <w:szCs w:val="20"/>
        </w:rPr>
        <w:t>gyorsbecslésként</w:t>
      </w:r>
      <w:r>
        <w:rPr>
          <w:b/>
          <w:szCs w:val="20"/>
        </w:rPr>
        <w:t xml:space="preserve">) </w:t>
      </w:r>
      <w:r w:rsidR="000C6986">
        <w:rPr>
          <w:szCs w:val="20"/>
        </w:rPr>
        <w:t xml:space="preserve">az MNB </w:t>
      </w:r>
      <w:r w:rsidR="00DF56FD" w:rsidRPr="00472C5C">
        <w:rPr>
          <w:b/>
          <w:szCs w:val="20"/>
        </w:rPr>
        <w:t>csak a nyitott negyedévre</w:t>
      </w:r>
      <w:r w:rsidR="00DF56FD" w:rsidRPr="008C7DE5">
        <w:rPr>
          <w:szCs w:val="20"/>
        </w:rPr>
        <w:t xml:space="preserve"> vonatkozóan köz</w:t>
      </w:r>
      <w:r w:rsidR="000C6986">
        <w:rPr>
          <w:szCs w:val="20"/>
        </w:rPr>
        <w:t xml:space="preserve">li. </w:t>
      </w:r>
      <w:r>
        <w:rPr>
          <w:szCs w:val="20"/>
        </w:rPr>
        <w:t>Ezek a</w:t>
      </w:r>
      <w:r w:rsidRPr="00CF5906">
        <w:rPr>
          <w:szCs w:val="20"/>
        </w:rPr>
        <w:t xml:space="preserve"> </w:t>
      </w:r>
      <w:r w:rsidRPr="00B03412">
        <w:rPr>
          <w:szCs w:val="20"/>
        </w:rPr>
        <w:t>havi adatok csak a vonatkozó negyedéves adatok közléséig</w:t>
      </w:r>
      <w:r w:rsidRPr="00CF5906">
        <w:rPr>
          <w:szCs w:val="20"/>
        </w:rPr>
        <w:t xml:space="preserve"> </w:t>
      </w:r>
      <w:r>
        <w:rPr>
          <w:szCs w:val="20"/>
        </w:rPr>
        <w:t xml:space="preserve">lesznek </w:t>
      </w:r>
      <w:r w:rsidRPr="00CF5906">
        <w:rPr>
          <w:szCs w:val="20"/>
        </w:rPr>
        <w:t>elérhetők a hon</w:t>
      </w:r>
      <w:r>
        <w:rPr>
          <w:szCs w:val="20"/>
        </w:rPr>
        <w:t>lapon, belőlük</w:t>
      </w:r>
      <w:r w:rsidRPr="00CF5906">
        <w:rPr>
          <w:szCs w:val="20"/>
        </w:rPr>
        <w:t xml:space="preserve"> idősort nem tesz közzé az MNB, az adat-felülvizsgálatok során azokat nem módosítja.</w:t>
      </w:r>
      <w:r>
        <w:rPr>
          <w:szCs w:val="20"/>
        </w:rPr>
        <w:t xml:space="preserve"> </w:t>
      </w:r>
    </w:p>
    <w:p w:rsidR="00DF56FD" w:rsidRDefault="000C6986" w:rsidP="00DF56FD">
      <w:pPr>
        <w:rPr>
          <w:szCs w:val="20"/>
        </w:rPr>
      </w:pPr>
      <w:r>
        <w:rPr>
          <w:szCs w:val="20"/>
        </w:rPr>
        <w:t xml:space="preserve">A havi adatok közzétételének bevezetése nem módosítja a negyedéves statisztikákhoz kapcsolódó </w:t>
      </w:r>
      <w:r w:rsidR="00B03412">
        <w:rPr>
          <w:szCs w:val="20"/>
        </w:rPr>
        <w:t>megszokott</w:t>
      </w:r>
      <w:r>
        <w:rPr>
          <w:szCs w:val="20"/>
        </w:rPr>
        <w:t xml:space="preserve"> adatközlési és -felülvizsgálati rendet. A negyedéves publikációkhoz továbbra is kapcsolódik sajtóközlemény, s a honlapon elérhető hosszú i</w:t>
      </w:r>
      <w:r w:rsidR="00DF56FD" w:rsidRPr="008C7DE5">
        <w:rPr>
          <w:szCs w:val="20"/>
        </w:rPr>
        <w:t>dősoro</w:t>
      </w:r>
      <w:r>
        <w:rPr>
          <w:szCs w:val="20"/>
        </w:rPr>
        <w:t>k negyedéves (és éves) adatokat tartalmaznak</w:t>
      </w:r>
      <w:r w:rsidR="00DF56FD" w:rsidRPr="008C7DE5">
        <w:rPr>
          <w:szCs w:val="20"/>
        </w:rPr>
        <w:t xml:space="preserve">. </w:t>
      </w:r>
    </w:p>
    <w:p w:rsidR="00DF56FD" w:rsidRPr="0018619A" w:rsidRDefault="00DF56FD" w:rsidP="00DF56FD"/>
    <w:p w:rsidR="00C61AB6" w:rsidRPr="00272B8E" w:rsidRDefault="00C61AB6" w:rsidP="009B6FB3">
      <w:pPr>
        <w:spacing w:after="0" w:line="240" w:lineRule="auto"/>
      </w:pPr>
    </w:p>
    <w:p w:rsidR="00C61AB6" w:rsidRPr="00272B8E" w:rsidRDefault="00C61AB6" w:rsidP="009B6FB3">
      <w:pPr>
        <w:spacing w:after="0" w:line="240" w:lineRule="auto"/>
      </w:pPr>
    </w:p>
    <w:p w:rsidR="00786C82" w:rsidRDefault="00786C82" w:rsidP="009B6FB3">
      <w:pPr>
        <w:spacing w:after="0" w:line="240" w:lineRule="auto"/>
        <w:rPr>
          <w:lang w:val="en-US"/>
        </w:rPr>
      </w:pPr>
      <w:r>
        <w:rPr>
          <w:lang w:val="en-US"/>
        </w:rPr>
        <w:t xml:space="preserve">Budapest, </w:t>
      </w:r>
      <w:r w:rsidR="00DF56FD">
        <w:rPr>
          <w:lang w:val="en-US"/>
        </w:rPr>
        <w:t>2014. július 14.</w:t>
      </w:r>
    </w:p>
    <w:p w:rsidR="00786C82" w:rsidRDefault="00786C82" w:rsidP="009B6FB3">
      <w:pPr>
        <w:spacing w:after="0" w:line="240" w:lineRule="auto"/>
        <w:rPr>
          <w:lang w:val="en-US"/>
        </w:rPr>
      </w:pPr>
    </w:p>
    <w:p w:rsidR="0052546E" w:rsidRPr="004F72B9" w:rsidRDefault="00786C82" w:rsidP="009E4F01">
      <w:pPr>
        <w:spacing w:line="240" w:lineRule="auto"/>
        <w:jc w:val="right"/>
      </w:pPr>
      <w:r>
        <w:rPr>
          <w:lang w:val="en-US"/>
        </w:rPr>
        <w:t>MAGYAR NEMZETI BANK</w:t>
      </w:r>
      <w:bookmarkStart w:id="0" w:name="_GoBack"/>
      <w:bookmarkEnd w:id="0"/>
    </w:p>
    <w:sectPr w:rsidR="0052546E" w:rsidRPr="004F72B9" w:rsidSect="00267BC5">
      <w:headerReference w:type="first" r:id="rId8"/>
      <w:pgSz w:w="11906" w:h="16838" w:code="9"/>
      <w:pgMar w:top="1440" w:right="1224" w:bottom="1699" w:left="1224" w:header="85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986" w:rsidRDefault="000C6986">
      <w:r>
        <w:separator/>
      </w:r>
    </w:p>
  </w:endnote>
  <w:endnote w:type="continuationSeparator" w:id="0">
    <w:p w:rsidR="000C6986" w:rsidRDefault="000C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986" w:rsidRDefault="000C6986">
      <w:r>
        <w:separator/>
      </w:r>
    </w:p>
  </w:footnote>
  <w:footnote w:type="continuationSeparator" w:id="0">
    <w:p w:rsidR="000C6986" w:rsidRDefault="000C6986">
      <w:r>
        <w:continuationSeparator/>
      </w:r>
    </w:p>
  </w:footnote>
  <w:footnote w:id="1">
    <w:p w:rsidR="00F318DA" w:rsidRDefault="00F318DA" w:rsidP="00F318DA">
      <w:r>
        <w:rPr>
          <w:rStyle w:val="FootnoteReference"/>
        </w:rPr>
        <w:footnoteRef/>
      </w:r>
      <w:r>
        <w:t xml:space="preserve"> </w:t>
      </w:r>
      <w:r w:rsidRPr="00FB48CF">
        <w:rPr>
          <w:sz w:val="16"/>
          <w:szCs w:val="16"/>
        </w:rPr>
        <w:t>Az új módszertan szerint a negyedéves publikáció megjelenésének időpontja a tárgynegyedévet követő 85. nap. (Az első BPM6 módszertan szerinti negyedéves publikáció 2014. június 24-én volt, amelyben újként tettük közzé a 2014</w:t>
      </w:r>
      <w:r>
        <w:rPr>
          <w:sz w:val="16"/>
          <w:szCs w:val="16"/>
        </w:rPr>
        <w:t>.</w:t>
      </w:r>
      <w:r w:rsidRPr="00FB48CF">
        <w:rPr>
          <w:sz w:val="16"/>
          <w:szCs w:val="16"/>
        </w:rPr>
        <w:t xml:space="preserve"> </w:t>
      </w:r>
      <w:r>
        <w:rPr>
          <w:sz w:val="16"/>
          <w:szCs w:val="16"/>
        </w:rPr>
        <w:t>I.</w:t>
      </w:r>
      <w:r w:rsidRPr="00FB48CF">
        <w:rPr>
          <w:sz w:val="16"/>
          <w:szCs w:val="16"/>
        </w:rPr>
        <w:t xml:space="preserve"> negyedéves adatokat és revideáltuk a 2013 éves adatokat. A következő negyedéves publikáció 2014. szeptember 23-</w:t>
      </w:r>
      <w:r>
        <w:rPr>
          <w:sz w:val="16"/>
          <w:szCs w:val="16"/>
        </w:rPr>
        <w:t>án</w:t>
      </w:r>
      <w:r w:rsidRPr="00FB48CF">
        <w:rPr>
          <w:sz w:val="16"/>
          <w:szCs w:val="16"/>
        </w:rPr>
        <w:t xml:space="preserve"> lesz, amikor közzétesszük a 2014. </w:t>
      </w:r>
      <w:r>
        <w:rPr>
          <w:sz w:val="16"/>
          <w:szCs w:val="16"/>
        </w:rPr>
        <w:t xml:space="preserve">II. </w:t>
      </w:r>
      <w:r w:rsidRPr="00FB48CF">
        <w:rPr>
          <w:sz w:val="16"/>
          <w:szCs w:val="16"/>
        </w:rPr>
        <w:t xml:space="preserve">negyedéves adatokat, </w:t>
      </w:r>
      <w:r>
        <w:rPr>
          <w:sz w:val="16"/>
          <w:szCs w:val="16"/>
        </w:rPr>
        <w:t>valamint</w:t>
      </w:r>
      <w:r w:rsidRPr="00FB48CF">
        <w:rPr>
          <w:sz w:val="16"/>
          <w:szCs w:val="16"/>
        </w:rPr>
        <w:t xml:space="preserve"> az új módszertan szerint összeállított visszamenőleges idősorokat.</w:t>
      </w:r>
      <w:r>
        <w:rPr>
          <w:sz w:val="16"/>
          <w:szCs w:val="16"/>
        </w:rPr>
        <w:t xml:space="preserve">) A havi adatok a tárgyhónapot követő 44. napon kerülnek publikálásra.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86" w:rsidRDefault="000C6986" w:rsidP="00E444F6">
    <w:pPr>
      <w:tabs>
        <w:tab w:val="left" w:pos="4253"/>
        <w:tab w:val="left" w:pos="5529"/>
        <w:tab w:val="right" w:pos="9498"/>
      </w:tabs>
      <w:spacing w:line="240" w:lineRule="auto"/>
      <w:jc w:val="center"/>
    </w:pPr>
    <w:r>
      <w:rPr>
        <w:noProof/>
      </w:rPr>
      <w:drawing>
        <wp:inline distT="0" distB="0" distL="0" distR="0">
          <wp:extent cx="972000" cy="97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B_logo_emblema_arany_h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D48A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7F2C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CA7B8E"/>
    <w:multiLevelType w:val="hybridMultilevel"/>
    <w:tmpl w:val="8B581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71844"/>
    <w:multiLevelType w:val="multilevel"/>
    <w:tmpl w:val="2480BFBC"/>
    <w:numStyleLink w:val="Hierarchikuslista"/>
  </w:abstractNum>
  <w:abstractNum w:abstractNumId="4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C0FD1"/>
    <w:multiLevelType w:val="hybridMultilevel"/>
    <w:tmpl w:val="D9D8C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72521"/>
    <w:multiLevelType w:val="multilevel"/>
    <w:tmpl w:val="2480BFBC"/>
    <w:numStyleLink w:val="Hierarchikuslista"/>
  </w:abstractNum>
  <w:abstractNum w:abstractNumId="8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6C2513A"/>
    <w:multiLevelType w:val="hybridMultilevel"/>
    <w:tmpl w:val="B0C40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B6F6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E5C1D" w:themeColor="accent1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7E5C1D" w:themeColor="accent1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7E5C1D" w:themeColor="accent1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7E5C1D" w:themeColor="accen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CA93697"/>
    <w:multiLevelType w:val="hybridMultilevel"/>
    <w:tmpl w:val="DF92A6B2"/>
    <w:lvl w:ilvl="0" w:tplc="CCE0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5C1D" w:themeColor="accen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4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5">
    <w:nsid w:val="2F911351"/>
    <w:multiLevelType w:val="hybridMultilevel"/>
    <w:tmpl w:val="76841420"/>
    <w:lvl w:ilvl="0" w:tplc="CCE0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5C1D" w:themeColor="accen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635F1"/>
    <w:multiLevelType w:val="hybridMultilevel"/>
    <w:tmpl w:val="3FAAE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902C7"/>
    <w:multiLevelType w:val="hybridMultilevel"/>
    <w:tmpl w:val="50762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66E8"/>
    <w:multiLevelType w:val="hybridMultilevel"/>
    <w:tmpl w:val="52562992"/>
    <w:lvl w:ilvl="0" w:tplc="1B88AE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6145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2932595"/>
    <w:multiLevelType w:val="hybridMultilevel"/>
    <w:tmpl w:val="F89E5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54FC6"/>
    <w:multiLevelType w:val="hybridMultilevel"/>
    <w:tmpl w:val="5A502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37239"/>
    <w:multiLevelType w:val="hybridMultilevel"/>
    <w:tmpl w:val="8D685108"/>
    <w:lvl w:ilvl="0" w:tplc="CCE05F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7E5C1D" w:themeColor="accent1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60113ABF"/>
    <w:multiLevelType w:val="hybridMultilevel"/>
    <w:tmpl w:val="FAE2468C"/>
    <w:lvl w:ilvl="0" w:tplc="CCE0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5C1D" w:themeColor="accen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BC578A2"/>
    <w:multiLevelType w:val="hybridMultilevel"/>
    <w:tmpl w:val="86481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C4D96"/>
    <w:multiLevelType w:val="hybridMultilevel"/>
    <w:tmpl w:val="5F826D6A"/>
    <w:lvl w:ilvl="0" w:tplc="CCE0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5C1D" w:themeColor="accen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2"/>
  </w:num>
  <w:num w:numId="9">
    <w:abstractNumId w:val="23"/>
  </w:num>
  <w:num w:numId="10">
    <w:abstractNumId w:val="11"/>
  </w:num>
  <w:num w:numId="11">
    <w:abstractNumId w:val="20"/>
  </w:num>
  <w:num w:numId="12">
    <w:abstractNumId w:val="19"/>
  </w:num>
  <w:num w:numId="13">
    <w:abstractNumId w:val="17"/>
  </w:num>
  <w:num w:numId="14">
    <w:abstractNumId w:val="12"/>
  </w:num>
  <w:num w:numId="15">
    <w:abstractNumId w:val="22"/>
  </w:num>
  <w:num w:numId="16">
    <w:abstractNumId w:val="26"/>
  </w:num>
  <w:num w:numId="17">
    <w:abstractNumId w:val="15"/>
  </w:num>
  <w:num w:numId="18">
    <w:abstractNumId w:val="16"/>
  </w:num>
  <w:num w:numId="19">
    <w:abstractNumId w:val="25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8"/>
  </w:num>
  <w:num w:numId="30">
    <w:abstractNumId w:val="4"/>
  </w:num>
  <w:num w:numId="31">
    <w:abstractNumId w:val="5"/>
  </w:num>
  <w:num w:numId="32">
    <w:abstractNumId w:val="1"/>
  </w:num>
  <w:num w:numId="33">
    <w:abstractNumId w:val="0"/>
  </w:num>
  <w:num w:numId="34">
    <w:abstractNumId w:val="10"/>
  </w:num>
  <w:num w:numId="35">
    <w:abstractNumId w:val="8"/>
  </w:num>
  <w:num w:numId="36">
    <w:abstractNumId w:val="3"/>
  </w:num>
  <w:num w:numId="37">
    <w:abstractNumId w:val="7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24"/>
  </w:num>
  <w:num w:numId="45">
    <w:abstractNumId w:val="18"/>
    <w:lvlOverride w:ilvl="0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linkStyles/>
  <w:stylePaneFormatFilter w:val="7004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F56FD"/>
    <w:rsid w:val="0000273C"/>
    <w:rsid w:val="00017B1B"/>
    <w:rsid w:val="0002498B"/>
    <w:rsid w:val="000250E6"/>
    <w:rsid w:val="00027695"/>
    <w:rsid w:val="00035697"/>
    <w:rsid w:val="00060148"/>
    <w:rsid w:val="0006374F"/>
    <w:rsid w:val="00067BE2"/>
    <w:rsid w:val="00070C91"/>
    <w:rsid w:val="0008131E"/>
    <w:rsid w:val="000831EC"/>
    <w:rsid w:val="00087E97"/>
    <w:rsid w:val="000C6986"/>
    <w:rsid w:val="000C701E"/>
    <w:rsid w:val="000D1C8B"/>
    <w:rsid w:val="000D1E44"/>
    <w:rsid w:val="000D40AE"/>
    <w:rsid w:val="000D4F61"/>
    <w:rsid w:val="000E4EE3"/>
    <w:rsid w:val="000F2858"/>
    <w:rsid w:val="000F2AE0"/>
    <w:rsid w:val="000F68FE"/>
    <w:rsid w:val="00101654"/>
    <w:rsid w:val="0010447E"/>
    <w:rsid w:val="0010496C"/>
    <w:rsid w:val="00110868"/>
    <w:rsid w:val="001255A4"/>
    <w:rsid w:val="001357D0"/>
    <w:rsid w:val="001421CC"/>
    <w:rsid w:val="00143691"/>
    <w:rsid w:val="001447EF"/>
    <w:rsid w:val="00150045"/>
    <w:rsid w:val="00152DBF"/>
    <w:rsid w:val="00166F6C"/>
    <w:rsid w:val="00167490"/>
    <w:rsid w:val="0018359E"/>
    <w:rsid w:val="001870A7"/>
    <w:rsid w:val="00197350"/>
    <w:rsid w:val="001A2BAA"/>
    <w:rsid w:val="001A609D"/>
    <w:rsid w:val="001C0FAA"/>
    <w:rsid w:val="001C24F1"/>
    <w:rsid w:val="001C466F"/>
    <w:rsid w:val="001D5999"/>
    <w:rsid w:val="001D7401"/>
    <w:rsid w:val="001E34FF"/>
    <w:rsid w:val="001F0E5D"/>
    <w:rsid w:val="002012AD"/>
    <w:rsid w:val="00214230"/>
    <w:rsid w:val="0021484C"/>
    <w:rsid w:val="0022764E"/>
    <w:rsid w:val="00240C97"/>
    <w:rsid w:val="0024525F"/>
    <w:rsid w:val="002522F1"/>
    <w:rsid w:val="002602F5"/>
    <w:rsid w:val="002611AE"/>
    <w:rsid w:val="0026180A"/>
    <w:rsid w:val="00263E62"/>
    <w:rsid w:val="00267BC5"/>
    <w:rsid w:val="00270724"/>
    <w:rsid w:val="00272A35"/>
    <w:rsid w:val="00272B8E"/>
    <w:rsid w:val="0027402D"/>
    <w:rsid w:val="00277AEF"/>
    <w:rsid w:val="002866DE"/>
    <w:rsid w:val="00287D15"/>
    <w:rsid w:val="00292177"/>
    <w:rsid w:val="002A3B0E"/>
    <w:rsid w:val="002B3674"/>
    <w:rsid w:val="002B4D45"/>
    <w:rsid w:val="002B6B78"/>
    <w:rsid w:val="002B6D25"/>
    <w:rsid w:val="002C728F"/>
    <w:rsid w:val="002C7D4D"/>
    <w:rsid w:val="002C7DD0"/>
    <w:rsid w:val="002D5E55"/>
    <w:rsid w:val="002F34ED"/>
    <w:rsid w:val="002F3768"/>
    <w:rsid w:val="002F602F"/>
    <w:rsid w:val="002F77D8"/>
    <w:rsid w:val="00313246"/>
    <w:rsid w:val="003231ED"/>
    <w:rsid w:val="00327A74"/>
    <w:rsid w:val="00341BB5"/>
    <w:rsid w:val="00343614"/>
    <w:rsid w:val="0035153B"/>
    <w:rsid w:val="003524A6"/>
    <w:rsid w:val="00363ECC"/>
    <w:rsid w:val="003701D4"/>
    <w:rsid w:val="003704B1"/>
    <w:rsid w:val="00373BD2"/>
    <w:rsid w:val="0037696F"/>
    <w:rsid w:val="00380643"/>
    <w:rsid w:val="003824BF"/>
    <w:rsid w:val="00391B59"/>
    <w:rsid w:val="00395261"/>
    <w:rsid w:val="00395B14"/>
    <w:rsid w:val="00395D13"/>
    <w:rsid w:val="00397F34"/>
    <w:rsid w:val="003A1C35"/>
    <w:rsid w:val="003B12B2"/>
    <w:rsid w:val="003B46BE"/>
    <w:rsid w:val="003B71A6"/>
    <w:rsid w:val="003C5699"/>
    <w:rsid w:val="003D04DD"/>
    <w:rsid w:val="003D52BC"/>
    <w:rsid w:val="003F128A"/>
    <w:rsid w:val="0041484F"/>
    <w:rsid w:val="004330EA"/>
    <w:rsid w:val="00434DC6"/>
    <w:rsid w:val="00442ABF"/>
    <w:rsid w:val="004451FE"/>
    <w:rsid w:val="00453087"/>
    <w:rsid w:val="00455A38"/>
    <w:rsid w:val="0047029F"/>
    <w:rsid w:val="00473CB8"/>
    <w:rsid w:val="00474131"/>
    <w:rsid w:val="004841E1"/>
    <w:rsid w:val="0049098C"/>
    <w:rsid w:val="004919C2"/>
    <w:rsid w:val="00494C89"/>
    <w:rsid w:val="004A58E3"/>
    <w:rsid w:val="004A5F09"/>
    <w:rsid w:val="004B1A68"/>
    <w:rsid w:val="004B6B4A"/>
    <w:rsid w:val="004D270F"/>
    <w:rsid w:val="004D7635"/>
    <w:rsid w:val="004F3741"/>
    <w:rsid w:val="004F72B9"/>
    <w:rsid w:val="0050045B"/>
    <w:rsid w:val="00501172"/>
    <w:rsid w:val="00503A99"/>
    <w:rsid w:val="00507A25"/>
    <w:rsid w:val="00513B1F"/>
    <w:rsid w:val="0051486A"/>
    <w:rsid w:val="005149CD"/>
    <w:rsid w:val="00516455"/>
    <w:rsid w:val="00517847"/>
    <w:rsid w:val="0052546E"/>
    <w:rsid w:val="0052584F"/>
    <w:rsid w:val="005305EA"/>
    <w:rsid w:val="005312FD"/>
    <w:rsid w:val="00557A68"/>
    <w:rsid w:val="00561175"/>
    <w:rsid w:val="00571C3C"/>
    <w:rsid w:val="00581D24"/>
    <w:rsid w:val="0058459E"/>
    <w:rsid w:val="00586D4D"/>
    <w:rsid w:val="005A3DDE"/>
    <w:rsid w:val="005A788E"/>
    <w:rsid w:val="005B0A26"/>
    <w:rsid w:val="005C3F73"/>
    <w:rsid w:val="005C498A"/>
    <w:rsid w:val="005C5BB7"/>
    <w:rsid w:val="005D1A2C"/>
    <w:rsid w:val="005D330A"/>
    <w:rsid w:val="005E3D86"/>
    <w:rsid w:val="005F3818"/>
    <w:rsid w:val="005F3E3D"/>
    <w:rsid w:val="00602F0C"/>
    <w:rsid w:val="00603723"/>
    <w:rsid w:val="00610E45"/>
    <w:rsid w:val="00633581"/>
    <w:rsid w:val="00643529"/>
    <w:rsid w:val="00643CB4"/>
    <w:rsid w:val="00644BE4"/>
    <w:rsid w:val="0067570F"/>
    <w:rsid w:val="00681108"/>
    <w:rsid w:val="00685A4A"/>
    <w:rsid w:val="00690C97"/>
    <w:rsid w:val="00693DAC"/>
    <w:rsid w:val="0069441B"/>
    <w:rsid w:val="006A54BA"/>
    <w:rsid w:val="006C2C3D"/>
    <w:rsid w:val="006C4871"/>
    <w:rsid w:val="006E45F8"/>
    <w:rsid w:val="006E5F78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44A1F"/>
    <w:rsid w:val="00746D82"/>
    <w:rsid w:val="00754A11"/>
    <w:rsid w:val="00757DF6"/>
    <w:rsid w:val="00767D3F"/>
    <w:rsid w:val="00770241"/>
    <w:rsid w:val="00774306"/>
    <w:rsid w:val="00786C82"/>
    <w:rsid w:val="00786EF4"/>
    <w:rsid w:val="00791092"/>
    <w:rsid w:val="007913EE"/>
    <w:rsid w:val="007A2BE7"/>
    <w:rsid w:val="007B1174"/>
    <w:rsid w:val="007D5D55"/>
    <w:rsid w:val="007D7E92"/>
    <w:rsid w:val="007E0286"/>
    <w:rsid w:val="007F1D57"/>
    <w:rsid w:val="00814204"/>
    <w:rsid w:val="00815042"/>
    <w:rsid w:val="0082068C"/>
    <w:rsid w:val="008233C1"/>
    <w:rsid w:val="00823B7E"/>
    <w:rsid w:val="0083252A"/>
    <w:rsid w:val="008349B3"/>
    <w:rsid w:val="00842CE3"/>
    <w:rsid w:val="00844283"/>
    <w:rsid w:val="0084582F"/>
    <w:rsid w:val="00847C0A"/>
    <w:rsid w:val="008528A0"/>
    <w:rsid w:val="00860131"/>
    <w:rsid w:val="00864468"/>
    <w:rsid w:val="00866547"/>
    <w:rsid w:val="008935BD"/>
    <w:rsid w:val="008936DF"/>
    <w:rsid w:val="008A1C40"/>
    <w:rsid w:val="008A7757"/>
    <w:rsid w:val="008C474C"/>
    <w:rsid w:val="008C56D8"/>
    <w:rsid w:val="008D6221"/>
    <w:rsid w:val="008E26F2"/>
    <w:rsid w:val="008E3579"/>
    <w:rsid w:val="008F4603"/>
    <w:rsid w:val="009041FD"/>
    <w:rsid w:val="00925712"/>
    <w:rsid w:val="00930D3B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8209D"/>
    <w:rsid w:val="00983E96"/>
    <w:rsid w:val="00985549"/>
    <w:rsid w:val="009A4F0C"/>
    <w:rsid w:val="009B2208"/>
    <w:rsid w:val="009B6FB3"/>
    <w:rsid w:val="009B7F1B"/>
    <w:rsid w:val="009C09A6"/>
    <w:rsid w:val="009C6632"/>
    <w:rsid w:val="009D2629"/>
    <w:rsid w:val="009D3B3D"/>
    <w:rsid w:val="009D4156"/>
    <w:rsid w:val="009E4F01"/>
    <w:rsid w:val="009E7AC9"/>
    <w:rsid w:val="00A00F2A"/>
    <w:rsid w:val="00A16867"/>
    <w:rsid w:val="00A17909"/>
    <w:rsid w:val="00A2173F"/>
    <w:rsid w:val="00A244C7"/>
    <w:rsid w:val="00A26654"/>
    <w:rsid w:val="00A26ED3"/>
    <w:rsid w:val="00A34F95"/>
    <w:rsid w:val="00A44C60"/>
    <w:rsid w:val="00A5096A"/>
    <w:rsid w:val="00A56BCD"/>
    <w:rsid w:val="00A800A3"/>
    <w:rsid w:val="00A917E0"/>
    <w:rsid w:val="00A94C01"/>
    <w:rsid w:val="00AA7D28"/>
    <w:rsid w:val="00AB3E83"/>
    <w:rsid w:val="00AB5B26"/>
    <w:rsid w:val="00AB7DBF"/>
    <w:rsid w:val="00AC6950"/>
    <w:rsid w:val="00AD7802"/>
    <w:rsid w:val="00AE4D73"/>
    <w:rsid w:val="00AE6E5B"/>
    <w:rsid w:val="00AF7B9B"/>
    <w:rsid w:val="00B03412"/>
    <w:rsid w:val="00B06F8B"/>
    <w:rsid w:val="00B25C26"/>
    <w:rsid w:val="00B3064A"/>
    <w:rsid w:val="00B3473A"/>
    <w:rsid w:val="00B37787"/>
    <w:rsid w:val="00B4230E"/>
    <w:rsid w:val="00B4506F"/>
    <w:rsid w:val="00B45D0C"/>
    <w:rsid w:val="00B46F92"/>
    <w:rsid w:val="00B51E64"/>
    <w:rsid w:val="00B53C3B"/>
    <w:rsid w:val="00B54E70"/>
    <w:rsid w:val="00B56865"/>
    <w:rsid w:val="00B602C9"/>
    <w:rsid w:val="00B62845"/>
    <w:rsid w:val="00B64711"/>
    <w:rsid w:val="00B64835"/>
    <w:rsid w:val="00B702D5"/>
    <w:rsid w:val="00B723C6"/>
    <w:rsid w:val="00B8074B"/>
    <w:rsid w:val="00B861AB"/>
    <w:rsid w:val="00BA2A45"/>
    <w:rsid w:val="00BB27C2"/>
    <w:rsid w:val="00BB7D50"/>
    <w:rsid w:val="00BD0575"/>
    <w:rsid w:val="00BD12AC"/>
    <w:rsid w:val="00BD29BB"/>
    <w:rsid w:val="00BD2EC7"/>
    <w:rsid w:val="00BD5390"/>
    <w:rsid w:val="00BE125E"/>
    <w:rsid w:val="00BE5440"/>
    <w:rsid w:val="00BE5843"/>
    <w:rsid w:val="00BF0359"/>
    <w:rsid w:val="00BF3AF0"/>
    <w:rsid w:val="00C01E8F"/>
    <w:rsid w:val="00C07885"/>
    <w:rsid w:val="00C146F6"/>
    <w:rsid w:val="00C17469"/>
    <w:rsid w:val="00C20799"/>
    <w:rsid w:val="00C22FB8"/>
    <w:rsid w:val="00C3656E"/>
    <w:rsid w:val="00C43AC5"/>
    <w:rsid w:val="00C461F3"/>
    <w:rsid w:val="00C61AB6"/>
    <w:rsid w:val="00C63F2A"/>
    <w:rsid w:val="00C64061"/>
    <w:rsid w:val="00C64F11"/>
    <w:rsid w:val="00C82290"/>
    <w:rsid w:val="00C907C0"/>
    <w:rsid w:val="00CA398B"/>
    <w:rsid w:val="00CA7CA7"/>
    <w:rsid w:val="00CB184C"/>
    <w:rsid w:val="00CC4CB1"/>
    <w:rsid w:val="00CD36BC"/>
    <w:rsid w:val="00CD6E8D"/>
    <w:rsid w:val="00CD724F"/>
    <w:rsid w:val="00CF148C"/>
    <w:rsid w:val="00D00D53"/>
    <w:rsid w:val="00D03058"/>
    <w:rsid w:val="00D144FA"/>
    <w:rsid w:val="00D265EF"/>
    <w:rsid w:val="00D2761D"/>
    <w:rsid w:val="00D31FBB"/>
    <w:rsid w:val="00D463F1"/>
    <w:rsid w:val="00D524BB"/>
    <w:rsid w:val="00D56BB2"/>
    <w:rsid w:val="00D6703D"/>
    <w:rsid w:val="00D717DA"/>
    <w:rsid w:val="00D815CF"/>
    <w:rsid w:val="00DA3039"/>
    <w:rsid w:val="00DA6B88"/>
    <w:rsid w:val="00DA73B6"/>
    <w:rsid w:val="00DD62AD"/>
    <w:rsid w:val="00DF4F58"/>
    <w:rsid w:val="00DF56FD"/>
    <w:rsid w:val="00E14CD2"/>
    <w:rsid w:val="00E33610"/>
    <w:rsid w:val="00E35139"/>
    <w:rsid w:val="00E444F6"/>
    <w:rsid w:val="00E44555"/>
    <w:rsid w:val="00E5165B"/>
    <w:rsid w:val="00E52ABA"/>
    <w:rsid w:val="00E5314F"/>
    <w:rsid w:val="00E66AEE"/>
    <w:rsid w:val="00E70FF5"/>
    <w:rsid w:val="00E736A7"/>
    <w:rsid w:val="00E87C26"/>
    <w:rsid w:val="00EB11D4"/>
    <w:rsid w:val="00EB2886"/>
    <w:rsid w:val="00EB398E"/>
    <w:rsid w:val="00EC0289"/>
    <w:rsid w:val="00EC4096"/>
    <w:rsid w:val="00EC6A51"/>
    <w:rsid w:val="00ED05AC"/>
    <w:rsid w:val="00ED10E2"/>
    <w:rsid w:val="00EE4149"/>
    <w:rsid w:val="00F04E3E"/>
    <w:rsid w:val="00F10771"/>
    <w:rsid w:val="00F205E5"/>
    <w:rsid w:val="00F22CCD"/>
    <w:rsid w:val="00F318DA"/>
    <w:rsid w:val="00F41248"/>
    <w:rsid w:val="00F4237D"/>
    <w:rsid w:val="00F43F95"/>
    <w:rsid w:val="00F51AB4"/>
    <w:rsid w:val="00F54723"/>
    <w:rsid w:val="00F56702"/>
    <w:rsid w:val="00F57359"/>
    <w:rsid w:val="00F57AF5"/>
    <w:rsid w:val="00F62B87"/>
    <w:rsid w:val="00F65208"/>
    <w:rsid w:val="00F67BE6"/>
    <w:rsid w:val="00F702E1"/>
    <w:rsid w:val="00F7061B"/>
    <w:rsid w:val="00F74632"/>
    <w:rsid w:val="00F76BD5"/>
    <w:rsid w:val="00F86B33"/>
    <w:rsid w:val="00F91CB7"/>
    <w:rsid w:val="00F92C52"/>
    <w:rsid w:val="00F96F8A"/>
    <w:rsid w:val="00F9761F"/>
    <w:rsid w:val="00FA102C"/>
    <w:rsid w:val="00FC5616"/>
    <w:rsid w:val="00FD1FDD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imes New Roman" w:hAnsi="Trebuchet M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Strong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8E"/>
    <w:pPr>
      <w:spacing w:after="150" w:line="276" w:lineRule="auto"/>
      <w:jc w:val="both"/>
    </w:pPr>
    <w:rPr>
      <w:rFonts w:ascii="Calibri" w:eastAsiaTheme="minorHAnsi" w:hAnsi="Calibr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2B8E"/>
    <w:pPr>
      <w:keepNext/>
      <w:keepLines/>
      <w:numPr>
        <w:numId w:val="2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72B8E"/>
    <w:pPr>
      <w:numPr>
        <w:ilvl w:val="1"/>
        <w:numId w:val="2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72B8E"/>
    <w:pPr>
      <w:numPr>
        <w:ilvl w:val="2"/>
        <w:numId w:val="2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72B8E"/>
    <w:pPr>
      <w:numPr>
        <w:ilvl w:val="3"/>
        <w:numId w:val="2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272B8E"/>
    <w:pPr>
      <w:numPr>
        <w:ilvl w:val="4"/>
        <w:numId w:val="2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272B8E"/>
    <w:pPr>
      <w:numPr>
        <w:ilvl w:val="5"/>
        <w:numId w:val="2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B8E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B8E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B8E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  <w:rsid w:val="00272B8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2B8E"/>
  </w:style>
  <w:style w:type="table" w:customStyle="1" w:styleId="tblzat-mtrix">
    <w:name w:val="táblázat - mátrix"/>
    <w:basedOn w:val="TableNormal"/>
    <w:uiPriority w:val="2"/>
    <w:qFormat/>
    <w:rsid w:val="00272B8E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272B8E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272B8E"/>
    <w:pPr>
      <w:numPr>
        <w:numId w:val="45"/>
      </w:numPr>
      <w:contextualSpacing/>
    </w:pPr>
  </w:style>
  <w:style w:type="character" w:styleId="Hyperlink">
    <w:name w:val="Hyperlink"/>
    <w:basedOn w:val="EndnoteReference"/>
    <w:uiPriority w:val="99"/>
    <w:rsid w:val="00272B8E"/>
    <w:rPr>
      <w:rFonts w:ascii="Calibri" w:hAnsi="Calibri"/>
      <w:color w:val="0000FF"/>
      <w:sz w:val="20"/>
      <w:u w:val="single"/>
    </w:rPr>
  </w:style>
  <w:style w:type="table" w:customStyle="1" w:styleId="tblzat-oldallces">
    <w:name w:val="táblázat - oldalléces"/>
    <w:basedOn w:val="TableNormal"/>
    <w:uiPriority w:val="3"/>
    <w:qFormat/>
    <w:rsid w:val="00272B8E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272B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8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272B8E"/>
    <w:rPr>
      <w:color w:val="202653" w:themeColor="accent5"/>
      <w:sz w:val="18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72B8E"/>
    <w:pPr>
      <w:spacing w:after="100"/>
      <w:jc w:val="left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272B8E"/>
    <w:pPr>
      <w:spacing w:after="100"/>
      <w:ind w:left="22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272B8E"/>
    <w:pPr>
      <w:spacing w:after="100"/>
      <w:ind w:left="40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8E"/>
    <w:rPr>
      <w:rFonts w:ascii="Tahoma" w:eastAsiaTheme="minorHAnsi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99"/>
    <w:semiHidden/>
    <w:locked/>
    <w:rsid w:val="00272B8E"/>
    <w:pPr>
      <w:spacing w:after="100"/>
      <w:ind w:left="720"/>
    </w:pPr>
    <w:rPr>
      <w:color w:val="295A7E" w:themeColor="accent6" w:themeShade="80"/>
    </w:rPr>
  </w:style>
  <w:style w:type="paragraph" w:styleId="Header">
    <w:name w:val="header"/>
    <w:basedOn w:val="Normal"/>
    <w:link w:val="HeaderChar"/>
    <w:uiPriority w:val="99"/>
    <w:unhideWhenUsed/>
    <w:rsid w:val="00272B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8E"/>
    <w:rPr>
      <w:rFonts w:ascii="Calibri" w:eastAsiaTheme="minorHAnsi" w:hAnsi="Calibr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272B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8E"/>
    <w:rPr>
      <w:rFonts w:ascii="Calibri" w:eastAsiaTheme="minorHAnsi" w:hAnsi="Calibri" w:cstheme="minorBidi"/>
      <w:szCs w:val="22"/>
    </w:rPr>
  </w:style>
  <w:style w:type="paragraph" w:customStyle="1" w:styleId="Szmozs">
    <w:name w:val="Számozás"/>
    <w:basedOn w:val="Normal"/>
    <w:uiPriority w:val="4"/>
    <w:qFormat/>
    <w:rsid w:val="00272B8E"/>
    <w:pPr>
      <w:numPr>
        <w:numId w:val="3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272B8E"/>
    <w:pPr>
      <w:contextualSpacing/>
    </w:pPr>
    <w:rPr>
      <w:rFonts w:ascii="Verdana" w:eastAsiaTheme="minorHAnsi" w:hAnsi="Verdana" w:cstheme="minorBidi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Heading4Char">
    <w:name w:val="Heading 4 Char"/>
    <w:basedOn w:val="DefaultParagraphFont"/>
    <w:link w:val="Heading4"/>
    <w:uiPriority w:val="1"/>
    <w:rsid w:val="00272B8E"/>
    <w:rPr>
      <w:rFonts w:ascii="Calibri" w:eastAsiaTheme="minorHAnsi" w:hAnsi="Calibri" w:cstheme="minorBidi"/>
      <w:iCs/>
      <w:color w:val="202653" w:themeColor="accent5"/>
      <w:szCs w:val="30"/>
    </w:rPr>
  </w:style>
  <w:style w:type="character" w:customStyle="1" w:styleId="Heading5Char">
    <w:name w:val="Heading 5 Char"/>
    <w:basedOn w:val="DefaultParagraphFont"/>
    <w:link w:val="Heading5"/>
    <w:uiPriority w:val="1"/>
    <w:rsid w:val="00272B8E"/>
    <w:rPr>
      <w:rFonts w:ascii="Calibri" w:eastAsiaTheme="minorHAnsi" w:hAnsi="Calibri" w:cstheme="minorBidi"/>
      <w:color w:val="202653" w:themeColor="accent5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272B8E"/>
    <w:rPr>
      <w:rFonts w:ascii="Calibri" w:eastAsiaTheme="minorHAnsi" w:hAnsi="Calibri" w:cstheme="minorBidi"/>
      <w:color w:val="202653" w:themeColor="accent5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272B8E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Heading2Char">
    <w:name w:val="Heading 2 Char"/>
    <w:basedOn w:val="DefaultParagraphFont"/>
    <w:link w:val="Heading2"/>
    <w:uiPriority w:val="1"/>
    <w:rsid w:val="00272B8E"/>
    <w:rPr>
      <w:rFonts w:ascii="Calibri" w:eastAsiaTheme="minorHAnsi" w:hAnsi="Calibri" w:cstheme="minorBidi"/>
      <w:b/>
      <w:color w:val="202653" w:themeColor="accent5"/>
      <w:szCs w:val="38"/>
    </w:rPr>
  </w:style>
  <w:style w:type="character" w:customStyle="1" w:styleId="Heading3Char">
    <w:name w:val="Heading 3 Char"/>
    <w:basedOn w:val="DefaultParagraphFont"/>
    <w:link w:val="Heading3"/>
    <w:uiPriority w:val="1"/>
    <w:rsid w:val="00272B8E"/>
    <w:rPr>
      <w:rFonts w:ascii="Calibri" w:eastAsiaTheme="minorHAnsi" w:hAnsi="Calibri" w:cstheme="minorBidi"/>
      <w:bCs/>
      <w:color w:val="202653" w:themeColor="accent5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272B8E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272B8E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B8E"/>
    <w:rPr>
      <w:rFonts w:ascii="Calibri" w:eastAsiaTheme="majorEastAsia" w:hAnsi="Calibri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B8E"/>
    <w:rPr>
      <w:rFonts w:ascii="Calibri" w:eastAsiaTheme="majorEastAsia" w:hAnsi="Calibr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B8E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272B8E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272B8E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OC5">
    <w:name w:val="toc 5"/>
    <w:basedOn w:val="Normal"/>
    <w:next w:val="Normal"/>
    <w:autoRedefine/>
    <w:uiPriority w:val="99"/>
    <w:semiHidden/>
    <w:locked/>
    <w:rsid w:val="00272B8E"/>
    <w:pPr>
      <w:spacing w:after="100"/>
      <w:ind w:left="799"/>
    </w:pPr>
    <w:rPr>
      <w:color w:val="295A7E" w:themeColor="accent6" w:themeShade="80"/>
    </w:rPr>
  </w:style>
  <w:style w:type="paragraph" w:styleId="TOC6">
    <w:name w:val="toc 6"/>
    <w:basedOn w:val="Normal"/>
    <w:next w:val="Normal"/>
    <w:autoRedefine/>
    <w:uiPriority w:val="99"/>
    <w:semiHidden/>
    <w:locked/>
    <w:rsid w:val="00272B8E"/>
    <w:pPr>
      <w:spacing w:after="100"/>
      <w:ind w:left="998"/>
    </w:pPr>
    <w:rPr>
      <w:color w:val="295A7E" w:themeColor="accent6" w:themeShade="80"/>
    </w:rPr>
  </w:style>
  <w:style w:type="paragraph" w:styleId="TOC7">
    <w:name w:val="toc 7"/>
    <w:basedOn w:val="Normal"/>
    <w:next w:val="Normal"/>
    <w:autoRedefine/>
    <w:uiPriority w:val="99"/>
    <w:semiHidden/>
    <w:locked/>
    <w:rsid w:val="00272B8E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272B8E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272B8E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272B8E"/>
    <w:pPr>
      <w:jc w:val="center"/>
    </w:pPr>
    <w:rPr>
      <w:rFonts w:ascii="Verdana" w:eastAsiaTheme="minorEastAsia" w:hAnsi="Verdana" w:cstheme="minorBidi"/>
      <w:szCs w:val="28"/>
      <w:lang w:val="en-US" w:eastAsia="en-US" w:bidi="en-US"/>
    </w:rPr>
    <w:tblPr>
      <w:tblInd w:w="0" w:type="dxa"/>
      <w:tblBorders>
        <w:insideV w:val="single" w:sz="4" w:space="0" w:color="D7A85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272B8E"/>
    <w:rPr>
      <w:rFonts w:eastAsiaTheme="minorEastAsia"/>
      <w:color w:val="898D8D" w:themeColor="text2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2B8E"/>
    <w:rPr>
      <w:rFonts w:ascii="Calibri" w:eastAsiaTheme="minorEastAsia" w:hAnsi="Calibri" w:cstheme="minorBidi"/>
      <w:color w:val="898D8D" w:themeColor="text2"/>
      <w:sz w:val="16"/>
    </w:rPr>
  </w:style>
  <w:style w:type="character" w:styleId="SubtleEmphasis">
    <w:name w:val="Subtle Emphasis"/>
    <w:basedOn w:val="DefaultParagraphFont"/>
    <w:uiPriority w:val="19"/>
    <w:qFormat/>
    <w:rsid w:val="00272B8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272B8E"/>
    <w:rPr>
      <w:rFonts w:ascii="Verdana" w:eastAsiaTheme="minorEastAsia" w:hAnsi="Verdana" w:cstheme="minorBidi"/>
      <w:color w:val="5E4415" w:themeColor="accent1" w:themeShade="BF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72B8E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B8E"/>
    <w:rPr>
      <w:color w:val="295A7E" w:themeColor="accent6" w:themeShade="8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B8E"/>
    <w:rPr>
      <w:rFonts w:ascii="Calibri" w:eastAsiaTheme="minorHAnsi" w:hAnsi="Calibri" w:cstheme="minorBidi"/>
      <w:color w:val="295A7E" w:themeColor="accent6" w:themeShade="80"/>
    </w:rPr>
  </w:style>
  <w:style w:type="table" w:customStyle="1" w:styleId="Vilgosrnykols1jellszn1">
    <w:name w:val="Világos árnyékolás – 1. jelölőszín1"/>
    <w:basedOn w:val="TableNormal"/>
    <w:uiPriority w:val="60"/>
    <w:rsid w:val="00272B8E"/>
    <w:rPr>
      <w:rFonts w:ascii="Verdana" w:eastAsiaTheme="minorHAnsi" w:hAnsi="Verdana" w:cstheme="minorBidi"/>
      <w:color w:val="5E4415" w:themeColor="accent1" w:themeShade="BF"/>
      <w:szCs w:val="22"/>
    </w:rPr>
    <w:tblPr>
      <w:tblStyleRowBandSize w:val="1"/>
      <w:tblStyleColBandSize w:val="1"/>
      <w:tblInd w:w="0" w:type="dxa"/>
      <w:tblBorders>
        <w:top w:val="single" w:sz="8" w:space="0" w:color="7E5C1D" w:themeColor="accent1"/>
        <w:bottom w:val="single" w:sz="8" w:space="0" w:color="7E5C1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272B8E"/>
    <w:pPr>
      <w:numPr>
        <w:numId w:val="31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272B8E"/>
  </w:style>
  <w:style w:type="character" w:customStyle="1" w:styleId="ListParagraphChar">
    <w:name w:val="List Paragraph Char"/>
    <w:basedOn w:val="DefaultParagraphFont"/>
    <w:link w:val="ListParagraph"/>
    <w:uiPriority w:val="4"/>
    <w:rsid w:val="00272B8E"/>
    <w:rPr>
      <w:rFonts w:ascii="Calibri" w:eastAsiaTheme="minorHAnsi" w:hAnsi="Calibri" w:cstheme="minorBidi"/>
      <w:szCs w:val="22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272B8E"/>
  </w:style>
  <w:style w:type="character" w:customStyle="1" w:styleId="TblaszvegstlusChar">
    <w:name w:val="Tábla szöveg stílus Char"/>
    <w:basedOn w:val="DefaultParagraphFont"/>
    <w:link w:val="Tblaszvegstlus"/>
    <w:uiPriority w:val="8"/>
    <w:rsid w:val="00272B8E"/>
    <w:rPr>
      <w:rFonts w:ascii="Calibri" w:eastAsiaTheme="minorHAnsi" w:hAnsi="Calibri" w:cstheme="minorBidi"/>
      <w:szCs w:val="22"/>
    </w:rPr>
  </w:style>
  <w:style w:type="character" w:styleId="SubtleReference">
    <w:name w:val="Subtle Reference"/>
    <w:basedOn w:val="DefaultParagraphFont"/>
    <w:uiPriority w:val="31"/>
    <w:rsid w:val="00272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72B8E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272B8E"/>
    <w:pPr>
      <w:numPr>
        <w:numId w:val="44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272B8E"/>
    <w:pPr>
      <w:numPr>
        <w:ilvl w:val="2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272B8E"/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272B8E"/>
  </w:style>
  <w:style w:type="paragraph" w:styleId="Subtitle">
    <w:name w:val="Subtitle"/>
    <w:basedOn w:val="Normal"/>
    <w:next w:val="Normal"/>
    <w:link w:val="SubtitleChar"/>
    <w:uiPriority w:val="11"/>
    <w:rsid w:val="00272B8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72B8E"/>
    <w:rPr>
      <w:rFonts w:ascii="Calibri" w:eastAsiaTheme="majorEastAsia" w:hAnsi="Calibri" w:cstheme="majorBidi"/>
      <w:szCs w:val="22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272B8E"/>
    <w:pPr>
      <w:numPr>
        <w:numId w:val="34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272B8E"/>
  </w:style>
  <w:style w:type="paragraph" w:customStyle="1" w:styleId="Erskiemels">
    <w:name w:val="Erős kiemelés"/>
    <w:basedOn w:val="Normal"/>
    <w:link w:val="ErskiemelsChar"/>
    <w:uiPriority w:val="5"/>
    <w:qFormat/>
    <w:rsid w:val="00272B8E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272B8E"/>
    <w:rPr>
      <w:rFonts w:ascii="Calibri" w:eastAsiaTheme="minorHAnsi" w:hAnsi="Calibri" w:cstheme="minorBidi"/>
      <w:b/>
      <w:i/>
      <w:szCs w:val="22"/>
    </w:rPr>
  </w:style>
  <w:style w:type="paragraph" w:customStyle="1" w:styleId="Bold">
    <w:name w:val="Bold"/>
    <w:basedOn w:val="Normal"/>
    <w:link w:val="BoldChar"/>
    <w:uiPriority w:val="6"/>
    <w:qFormat/>
    <w:rsid w:val="00272B8E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272B8E"/>
    <w:rPr>
      <w:rFonts w:ascii="Calibri" w:eastAsiaTheme="minorHAnsi" w:hAnsi="Calibri" w:cstheme="minorBidi"/>
      <w:b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72B8E"/>
    <w:rPr>
      <w:color w:val="7BAFD4" w:themeColor="followedHyperlink"/>
      <w:u w:val="single"/>
    </w:rPr>
  </w:style>
  <w:style w:type="paragraph" w:customStyle="1" w:styleId="StyleTOC2Left015">
    <w:name w:val="Style TOC 2 + Left:  0.15&quot;"/>
    <w:basedOn w:val="TOC2"/>
    <w:rsid w:val="00272B8E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OC3"/>
    <w:rsid w:val="00272B8E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272B8E"/>
    <w:pPr>
      <w:numPr>
        <w:numId w:val="35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272B8E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272B8E"/>
  </w:style>
  <w:style w:type="character" w:styleId="Strong">
    <w:name w:val="Strong"/>
    <w:basedOn w:val="DefaultParagraphFont"/>
    <w:uiPriority w:val="22"/>
    <w:rsid w:val="00272B8E"/>
    <w:rPr>
      <w:b/>
      <w:bCs/>
    </w:rPr>
  </w:style>
  <w:style w:type="character" w:styleId="Emphasis">
    <w:name w:val="Emphasis"/>
    <w:basedOn w:val="DefaultParagraphFont"/>
    <w:uiPriority w:val="6"/>
    <w:qFormat/>
    <w:rsid w:val="00272B8E"/>
    <w:rPr>
      <w:i/>
      <w:iCs/>
    </w:rPr>
  </w:style>
  <w:style w:type="paragraph" w:styleId="NoSpacing">
    <w:name w:val="No Spacing"/>
    <w:basedOn w:val="Normal"/>
    <w:uiPriority w:val="1"/>
    <w:rsid w:val="00272B8E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272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2B8E"/>
    <w:rPr>
      <w:rFonts w:ascii="Calibri" w:eastAsiaTheme="minorHAnsi" w:hAnsi="Calibri" w:cstheme="minorBidi"/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272B8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B8E"/>
    <w:rPr>
      <w:rFonts w:ascii="Calibri" w:eastAsiaTheme="minorHAnsi" w:hAnsi="Calibri" w:cstheme="minorBidi"/>
      <w:b/>
      <w:i/>
      <w:szCs w:val="22"/>
    </w:rPr>
  </w:style>
  <w:style w:type="character" w:styleId="IntenseEmphasis">
    <w:name w:val="Intense Emphasis"/>
    <w:basedOn w:val="DefaultParagraphFont"/>
    <w:uiPriority w:val="21"/>
    <w:rsid w:val="00272B8E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272B8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272B8E"/>
    <w:rPr>
      <w:b/>
      <w:i/>
      <w:color w:val="7E5C1D" w:themeColor="accent1"/>
    </w:rPr>
  </w:style>
  <w:style w:type="table" w:customStyle="1" w:styleId="Rcsos">
    <w:name w:val="Rácsos"/>
    <w:basedOn w:val="TableNormal"/>
    <w:uiPriority w:val="99"/>
    <w:rsid w:val="00272B8E"/>
    <w:rPr>
      <w:rFonts w:asciiTheme="majorHAnsi" w:eastAsiaTheme="minorHAnsi" w:hAnsiTheme="majorHAnsi" w:cstheme="minorBidi"/>
      <w:color w:val="202653" w:themeColor="accent5"/>
      <w:szCs w:val="22"/>
    </w:rPr>
    <w:tblPr>
      <w:tblStyleRowBandSize w:val="1"/>
      <w:tblStyleColBandSize w:val="1"/>
      <w:tblInd w:w="0" w:type="dxa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DF56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lzat-mtrix">
    <w:name w:val="Hierarchikuslista"/>
    <w:pPr>
      <w:numPr>
        <w:numId w:val="35"/>
      </w:numPr>
    </w:pPr>
  </w:style>
  <w:style w:type="numbering" w:customStyle="1" w:styleId="tblzat-fejlces">
    <w:name w:val="Style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\mnb\_Public\Sablondokumentumok\Tajekoztato%20minta%20(szines%20nyomtatashoz).dotx" TargetMode="External"/></Relationships>
</file>

<file path=word/theme/theme1.xml><?xml version="1.0" encoding="utf-8"?>
<a:theme xmlns:a="http://schemas.openxmlformats.org/drawingml/2006/main" name="MNB_Theme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6142BB2E-7F0E-4D5D-A6CB-E444AD3E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Tajekoztato minta (szines nyomtatashoz)</Template>
  <TotalTime>150</TotalTime>
  <Pages>2</Pages>
  <Words>589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>Jegyzőkönyv</vt:lpstr>
    </vt:vector>
  </TitlesOfParts>
  <Company>Magyar Nemzeti Bank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Montvai Beáta</dc:creator>
  <cp:lastModifiedBy>durucskom</cp:lastModifiedBy>
  <cp:revision>14</cp:revision>
  <cp:lastPrinted>1900-12-31T23:00:00Z</cp:lastPrinted>
  <dcterms:created xsi:type="dcterms:W3CDTF">2014-07-09T12:44:00Z</dcterms:created>
  <dcterms:modified xsi:type="dcterms:W3CDTF">2014-07-09T15:15:00Z</dcterms:modified>
</cp:coreProperties>
</file>