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7A" w:rsidRDefault="00F5099C" w:rsidP="00747A5C">
      <w:pPr>
        <w:tabs>
          <w:tab w:val="left" w:pos="426"/>
        </w:tabs>
        <w:spacing w:after="120"/>
        <w:contextualSpacing/>
        <w:jc w:val="center"/>
        <w:rPr>
          <w:rFonts w:asciiTheme="minorHAnsi" w:hAnsiTheme="minorHAnsi"/>
          <w:b/>
          <w:sz w:val="24"/>
          <w:szCs w:val="24"/>
          <w:lang w:eastAsia="en-US"/>
        </w:rPr>
      </w:pPr>
      <w:bookmarkStart w:id="0" w:name="_GoBack"/>
      <w:bookmarkEnd w:id="0"/>
      <w:r>
        <w:rPr>
          <w:rFonts w:asciiTheme="minorHAnsi" w:hAnsiTheme="minorHAnsi"/>
          <w:b/>
          <w:sz w:val="24"/>
          <w:szCs w:val="24"/>
          <w:lang w:eastAsia="en-US"/>
        </w:rPr>
        <w:t xml:space="preserve">Fenyvesi Réka: </w:t>
      </w:r>
      <w:r w:rsidR="00C0457A">
        <w:rPr>
          <w:rFonts w:asciiTheme="minorHAnsi" w:hAnsiTheme="minorHAnsi"/>
          <w:b/>
          <w:sz w:val="24"/>
          <w:szCs w:val="24"/>
          <w:lang w:eastAsia="en-US"/>
        </w:rPr>
        <w:t xml:space="preserve">A </w:t>
      </w:r>
      <w:r w:rsidR="00C51EB6">
        <w:rPr>
          <w:rFonts w:asciiTheme="minorHAnsi" w:hAnsiTheme="minorHAnsi"/>
          <w:b/>
          <w:sz w:val="24"/>
          <w:szCs w:val="24"/>
          <w:lang w:eastAsia="en-US"/>
        </w:rPr>
        <w:t>pénzügyi eszközök piacairól szóló szabályozás</w:t>
      </w:r>
      <w:r>
        <w:rPr>
          <w:rFonts w:asciiTheme="minorHAnsi" w:hAnsiTheme="minorHAnsi"/>
          <w:b/>
          <w:sz w:val="24"/>
          <w:szCs w:val="24"/>
          <w:lang w:eastAsia="en-US"/>
        </w:rPr>
        <w:t>ban várható változások</w:t>
      </w:r>
    </w:p>
    <w:p w:rsidR="00593944" w:rsidRPr="00593944" w:rsidRDefault="00F5099C" w:rsidP="00747A5C">
      <w:pPr>
        <w:tabs>
          <w:tab w:val="left" w:pos="426"/>
        </w:tabs>
        <w:spacing w:after="120"/>
        <w:contextualSpacing/>
        <w:jc w:val="center"/>
        <w:rPr>
          <w:rFonts w:asciiTheme="minorHAnsi" w:hAnsiTheme="minorHAnsi"/>
          <w:b/>
          <w:sz w:val="24"/>
          <w:szCs w:val="24"/>
          <w:lang w:eastAsia="en-US"/>
        </w:rPr>
      </w:pPr>
      <w:r>
        <w:rPr>
          <w:rFonts w:asciiTheme="minorHAnsi" w:hAnsiTheme="minorHAnsi"/>
          <w:b/>
          <w:sz w:val="24"/>
          <w:szCs w:val="24"/>
          <w:lang w:eastAsia="en-US"/>
        </w:rPr>
        <w:t>(</w:t>
      </w:r>
      <w:r w:rsidR="00E4294F">
        <w:rPr>
          <w:rFonts w:asciiTheme="minorHAnsi" w:hAnsiTheme="minorHAnsi"/>
          <w:b/>
          <w:sz w:val="24"/>
          <w:szCs w:val="24"/>
          <w:lang w:eastAsia="en-US"/>
        </w:rPr>
        <w:t xml:space="preserve">a </w:t>
      </w:r>
      <w:r w:rsidR="00C0457A">
        <w:rPr>
          <w:rFonts w:asciiTheme="minorHAnsi" w:hAnsiTheme="minorHAnsi"/>
          <w:b/>
          <w:sz w:val="24"/>
          <w:szCs w:val="24"/>
          <w:lang w:eastAsia="en-US"/>
        </w:rPr>
        <w:t xml:space="preserve">MiFID I és MiFID II közötti főbb </w:t>
      </w:r>
      <w:r w:rsidR="00C0457A" w:rsidRPr="00C0457A">
        <w:rPr>
          <w:rFonts w:asciiTheme="minorHAnsi" w:hAnsiTheme="minorHAnsi"/>
          <w:b/>
          <w:sz w:val="24"/>
          <w:szCs w:val="24"/>
          <w:lang w:eastAsia="en-US"/>
        </w:rPr>
        <w:t>változások és a MiFIR tartalmi elemei</w:t>
      </w:r>
      <w:r>
        <w:rPr>
          <w:rFonts w:asciiTheme="minorHAnsi" w:hAnsiTheme="minorHAnsi"/>
          <w:b/>
          <w:sz w:val="24"/>
          <w:szCs w:val="24"/>
          <w:lang w:eastAsia="en-US"/>
        </w:rPr>
        <w:t>)</w:t>
      </w:r>
    </w:p>
    <w:p w:rsidR="00593944" w:rsidRPr="00747A5C" w:rsidRDefault="00593944" w:rsidP="00747A5C">
      <w:pPr>
        <w:tabs>
          <w:tab w:val="left" w:pos="426"/>
        </w:tabs>
        <w:spacing w:after="120"/>
        <w:contextualSpacing/>
        <w:jc w:val="center"/>
        <w:rPr>
          <w:rFonts w:asciiTheme="minorHAnsi" w:hAnsiTheme="minorHAnsi"/>
          <w:b/>
          <w:sz w:val="24"/>
          <w:szCs w:val="24"/>
          <w:lang w:eastAsia="en-US"/>
        </w:rPr>
      </w:pPr>
    </w:p>
    <w:p w:rsidR="00593944" w:rsidRPr="00747A5C" w:rsidRDefault="00593944" w:rsidP="00593944">
      <w:pPr>
        <w:pStyle w:val="Listaszerbekezds"/>
        <w:numPr>
          <w:ilvl w:val="0"/>
          <w:numId w:val="12"/>
        </w:numPr>
        <w:tabs>
          <w:tab w:val="left" w:pos="426"/>
        </w:tabs>
        <w:spacing w:after="120"/>
        <w:rPr>
          <w:rFonts w:asciiTheme="minorHAnsi" w:hAnsiTheme="minorHAnsi"/>
          <w:b/>
          <w:sz w:val="24"/>
          <w:szCs w:val="24"/>
          <w:lang w:eastAsia="en-US"/>
        </w:rPr>
      </w:pPr>
      <w:r w:rsidRPr="00747A5C">
        <w:rPr>
          <w:rFonts w:asciiTheme="minorHAnsi" w:hAnsiTheme="minorHAnsi"/>
          <w:b/>
          <w:sz w:val="24"/>
          <w:szCs w:val="24"/>
          <w:lang w:eastAsia="en-US"/>
        </w:rPr>
        <w:t>Bevezető</w:t>
      </w:r>
    </w:p>
    <w:p w:rsidR="004C1AFA" w:rsidRPr="004C1AFA" w:rsidRDefault="004C1AFA" w:rsidP="004C1AFA">
      <w:pPr>
        <w:tabs>
          <w:tab w:val="left" w:pos="426"/>
        </w:tabs>
        <w:spacing w:after="120"/>
        <w:rPr>
          <w:rFonts w:asciiTheme="minorHAnsi" w:hAnsiTheme="minorHAnsi"/>
          <w:sz w:val="24"/>
          <w:szCs w:val="24"/>
          <w:lang w:eastAsia="en-US"/>
        </w:rPr>
      </w:pPr>
      <w:proofErr w:type="gramStart"/>
      <w:r w:rsidRPr="004C1AFA">
        <w:rPr>
          <w:rFonts w:asciiTheme="minorHAnsi" w:hAnsiTheme="minorHAnsi"/>
          <w:sz w:val="24"/>
          <w:szCs w:val="24"/>
          <w:lang w:eastAsia="en-US"/>
        </w:rPr>
        <w:t>A befektetési szolgáltatási tevékenységre, valamint a szabályozott piacokra és multilaterális k</w:t>
      </w:r>
      <w:r w:rsidRPr="004C1AFA">
        <w:rPr>
          <w:rFonts w:asciiTheme="minorHAnsi" w:hAnsiTheme="minorHAnsi"/>
          <w:sz w:val="24"/>
          <w:szCs w:val="24"/>
          <w:lang w:eastAsia="en-US"/>
        </w:rPr>
        <w:t>e</w:t>
      </w:r>
      <w:r w:rsidRPr="004C1AFA">
        <w:rPr>
          <w:rFonts w:asciiTheme="minorHAnsi" w:hAnsiTheme="minorHAnsi"/>
          <w:sz w:val="24"/>
          <w:szCs w:val="24"/>
          <w:lang w:eastAsia="en-US"/>
        </w:rPr>
        <w:t>reskedési rendszerekre</w:t>
      </w:r>
      <w:r>
        <w:rPr>
          <w:rFonts w:asciiTheme="minorHAnsi" w:hAnsiTheme="minorHAnsi"/>
          <w:sz w:val="24"/>
          <w:szCs w:val="24"/>
          <w:lang w:eastAsia="en-US"/>
        </w:rPr>
        <w:t xml:space="preserve"> vonatkozó 2004/39/EK irányelv </w:t>
      </w:r>
      <w:r w:rsidRPr="00117A31">
        <w:rPr>
          <w:rFonts w:asciiTheme="minorHAnsi" w:hAnsiTheme="minorHAnsi"/>
          <w:b/>
          <w:sz w:val="24"/>
          <w:szCs w:val="24"/>
          <w:lang w:eastAsia="en-US"/>
        </w:rPr>
        <w:t>(MiFID I)</w:t>
      </w:r>
      <w:r w:rsidRPr="004C1AFA">
        <w:rPr>
          <w:rFonts w:asciiTheme="minorHAnsi" w:hAnsiTheme="minorHAnsi"/>
          <w:sz w:val="24"/>
          <w:szCs w:val="24"/>
          <w:lang w:eastAsia="en-US"/>
        </w:rPr>
        <w:t xml:space="preserve"> 2007 novembere óta hatályos, tekintettel azonban a pénzügyi piacokon tapasztalható változásokra</w:t>
      </w:r>
      <w:r w:rsidR="00747A5C">
        <w:rPr>
          <w:rFonts w:asciiTheme="minorHAnsi" w:hAnsiTheme="minorHAnsi"/>
          <w:sz w:val="24"/>
          <w:szCs w:val="24"/>
          <w:lang w:eastAsia="en-US"/>
        </w:rPr>
        <w:t xml:space="preserve"> és a gyorsan fejlődő techn</w:t>
      </w:r>
      <w:r w:rsidR="00747A5C">
        <w:rPr>
          <w:rFonts w:asciiTheme="minorHAnsi" w:hAnsiTheme="minorHAnsi"/>
          <w:sz w:val="24"/>
          <w:szCs w:val="24"/>
          <w:lang w:eastAsia="en-US"/>
        </w:rPr>
        <w:t>o</w:t>
      </w:r>
      <w:r w:rsidR="00747A5C">
        <w:rPr>
          <w:rFonts w:asciiTheme="minorHAnsi" w:hAnsiTheme="minorHAnsi"/>
          <w:sz w:val="24"/>
          <w:szCs w:val="24"/>
          <w:lang w:eastAsia="en-US"/>
        </w:rPr>
        <w:t>lógiai újításokra</w:t>
      </w:r>
      <w:r w:rsidRPr="004C1AFA">
        <w:rPr>
          <w:rFonts w:asciiTheme="minorHAnsi" w:hAnsiTheme="minorHAnsi"/>
          <w:sz w:val="24"/>
          <w:szCs w:val="24"/>
          <w:lang w:eastAsia="en-US"/>
        </w:rPr>
        <w:t>, a Bizottság 2011-ben kidolgozta az irányelv felülvizsgálatára vonatkozó javasl</w:t>
      </w:r>
      <w:r w:rsidRPr="004C1AFA">
        <w:rPr>
          <w:rFonts w:asciiTheme="minorHAnsi" w:hAnsiTheme="minorHAnsi"/>
          <w:sz w:val="24"/>
          <w:szCs w:val="24"/>
          <w:lang w:eastAsia="en-US"/>
        </w:rPr>
        <w:t>a</w:t>
      </w:r>
      <w:r w:rsidRPr="004C1AFA">
        <w:rPr>
          <w:rFonts w:asciiTheme="minorHAnsi" w:hAnsiTheme="minorHAnsi"/>
          <w:sz w:val="24"/>
          <w:szCs w:val="24"/>
          <w:lang w:eastAsia="en-US"/>
        </w:rPr>
        <w:t xml:space="preserve">tát egy irányelv </w:t>
      </w:r>
      <w:r w:rsidRPr="00117A31">
        <w:rPr>
          <w:rFonts w:asciiTheme="minorHAnsi" w:hAnsiTheme="minorHAnsi"/>
          <w:b/>
          <w:sz w:val="24"/>
          <w:szCs w:val="24"/>
          <w:lang w:eastAsia="en-US"/>
        </w:rPr>
        <w:t>(MiFID II)</w:t>
      </w:r>
      <w:r w:rsidRPr="004C1AFA">
        <w:rPr>
          <w:rFonts w:asciiTheme="minorHAnsi" w:hAnsiTheme="minorHAnsi"/>
          <w:sz w:val="24"/>
          <w:szCs w:val="24"/>
          <w:lang w:eastAsia="en-US"/>
        </w:rPr>
        <w:t xml:space="preserve"> és egy rendelet </w:t>
      </w:r>
      <w:r w:rsidRPr="00747A5C">
        <w:rPr>
          <w:rFonts w:asciiTheme="minorHAnsi" w:hAnsiTheme="minorHAnsi"/>
          <w:b/>
          <w:sz w:val="24"/>
          <w:szCs w:val="24"/>
          <w:lang w:eastAsia="en-US"/>
        </w:rPr>
        <w:t>(MiFIR)</w:t>
      </w:r>
      <w:r w:rsidRPr="004C1AFA">
        <w:rPr>
          <w:rFonts w:asciiTheme="minorHAnsi" w:hAnsiTheme="minorHAnsi"/>
          <w:sz w:val="24"/>
          <w:szCs w:val="24"/>
          <w:lang w:eastAsia="en-US"/>
        </w:rPr>
        <w:t xml:space="preserve"> formájában, melyek hosszas szakmai munka lefolytatását követően 2014. június 12-én jelentek meg az EU Hivatalos Lapjában.</w:t>
      </w:r>
      <w:proofErr w:type="gramEnd"/>
      <w:r w:rsidRPr="004C1AFA">
        <w:rPr>
          <w:rFonts w:asciiTheme="minorHAnsi" w:hAnsiTheme="minorHAnsi"/>
          <w:sz w:val="24"/>
          <w:szCs w:val="24"/>
          <w:lang w:eastAsia="en-US"/>
        </w:rPr>
        <w:t xml:space="preserve"> </w:t>
      </w:r>
    </w:p>
    <w:p w:rsidR="004C1AFA" w:rsidRDefault="004C1AFA" w:rsidP="004C1AFA">
      <w:pPr>
        <w:tabs>
          <w:tab w:val="left" w:pos="426"/>
        </w:tabs>
        <w:spacing w:after="120"/>
        <w:rPr>
          <w:rFonts w:asciiTheme="minorHAnsi" w:hAnsiTheme="minorHAnsi"/>
          <w:sz w:val="24"/>
          <w:szCs w:val="24"/>
          <w:lang w:eastAsia="en-US"/>
        </w:rPr>
      </w:pPr>
      <w:r>
        <w:rPr>
          <w:rFonts w:asciiTheme="minorHAnsi" w:hAnsiTheme="minorHAnsi"/>
          <w:sz w:val="24"/>
          <w:szCs w:val="24"/>
          <w:lang w:eastAsia="en-US"/>
        </w:rPr>
        <w:t>J</w:t>
      </w:r>
      <w:r w:rsidRPr="004C1AFA">
        <w:rPr>
          <w:rFonts w:asciiTheme="minorHAnsi" w:hAnsiTheme="minorHAnsi"/>
          <w:sz w:val="24"/>
          <w:szCs w:val="24"/>
          <w:lang w:eastAsia="en-US"/>
        </w:rPr>
        <w:t xml:space="preserve">elen </w:t>
      </w:r>
      <w:r w:rsidR="00C7088D">
        <w:rPr>
          <w:rFonts w:asciiTheme="minorHAnsi" w:hAnsiTheme="minorHAnsi"/>
          <w:sz w:val="24"/>
          <w:szCs w:val="24"/>
          <w:lang w:eastAsia="en-US"/>
        </w:rPr>
        <w:t>tájékoztató</w:t>
      </w:r>
      <w:r>
        <w:rPr>
          <w:rFonts w:asciiTheme="minorHAnsi" w:hAnsiTheme="minorHAnsi"/>
          <w:sz w:val="24"/>
          <w:szCs w:val="24"/>
          <w:lang w:eastAsia="en-US"/>
        </w:rPr>
        <w:t xml:space="preserve"> </w:t>
      </w:r>
      <w:r w:rsidR="00C7088D">
        <w:rPr>
          <w:rFonts w:asciiTheme="minorHAnsi" w:hAnsiTheme="minorHAnsi"/>
          <w:sz w:val="24"/>
          <w:szCs w:val="24"/>
          <w:lang w:eastAsia="en-US"/>
        </w:rPr>
        <w:t xml:space="preserve">célja, hogy szabályozási szempontból áttekintést adjon a </w:t>
      </w:r>
      <w:r w:rsidR="00C7088D" w:rsidRPr="00C7088D">
        <w:rPr>
          <w:rFonts w:asciiTheme="minorHAnsi" w:hAnsiTheme="minorHAnsi"/>
          <w:sz w:val="24"/>
          <w:szCs w:val="24"/>
          <w:lang w:eastAsia="en-US"/>
        </w:rPr>
        <w:t>MiFID I és MiFID II k</w:t>
      </w:r>
      <w:r w:rsidR="00C7088D" w:rsidRPr="00C7088D">
        <w:rPr>
          <w:rFonts w:asciiTheme="minorHAnsi" w:hAnsiTheme="minorHAnsi"/>
          <w:sz w:val="24"/>
          <w:szCs w:val="24"/>
          <w:lang w:eastAsia="en-US"/>
        </w:rPr>
        <w:t>ö</w:t>
      </w:r>
      <w:r w:rsidR="00C7088D" w:rsidRPr="00C7088D">
        <w:rPr>
          <w:rFonts w:asciiTheme="minorHAnsi" w:hAnsiTheme="minorHAnsi"/>
          <w:sz w:val="24"/>
          <w:szCs w:val="24"/>
          <w:lang w:eastAsia="en-US"/>
        </w:rPr>
        <w:t>zötti főbb változások</w:t>
      </w:r>
      <w:r w:rsidR="00C7088D">
        <w:rPr>
          <w:rFonts w:asciiTheme="minorHAnsi" w:hAnsiTheme="minorHAnsi"/>
          <w:sz w:val="24"/>
          <w:szCs w:val="24"/>
          <w:lang w:eastAsia="en-US"/>
        </w:rPr>
        <w:t xml:space="preserve">ról és a </w:t>
      </w:r>
      <w:r w:rsidR="00C7088D" w:rsidRPr="00C7088D">
        <w:rPr>
          <w:rFonts w:asciiTheme="minorHAnsi" w:hAnsiTheme="minorHAnsi"/>
          <w:sz w:val="24"/>
          <w:szCs w:val="24"/>
          <w:lang w:eastAsia="en-US"/>
        </w:rPr>
        <w:t>MiFIR tartalmi</w:t>
      </w:r>
      <w:r w:rsidR="00C7088D">
        <w:rPr>
          <w:rFonts w:asciiTheme="minorHAnsi" w:hAnsiTheme="minorHAnsi"/>
          <w:sz w:val="24"/>
          <w:szCs w:val="24"/>
          <w:lang w:eastAsia="en-US"/>
        </w:rPr>
        <w:t xml:space="preserve"> elemeiről. Megjegyezzük ugyanakkor, hogy e dok</w:t>
      </w:r>
      <w:r w:rsidR="00C7088D">
        <w:rPr>
          <w:rFonts w:asciiTheme="minorHAnsi" w:hAnsiTheme="minorHAnsi"/>
          <w:sz w:val="24"/>
          <w:szCs w:val="24"/>
          <w:lang w:eastAsia="en-US"/>
        </w:rPr>
        <w:t>u</w:t>
      </w:r>
      <w:r w:rsidR="00C7088D">
        <w:rPr>
          <w:rFonts w:asciiTheme="minorHAnsi" w:hAnsiTheme="minorHAnsi"/>
          <w:sz w:val="24"/>
          <w:szCs w:val="24"/>
          <w:lang w:eastAsia="en-US"/>
        </w:rPr>
        <w:t xml:space="preserve">mentum a </w:t>
      </w:r>
      <w:r w:rsidRPr="004C1AFA">
        <w:rPr>
          <w:rFonts w:asciiTheme="minorHAnsi" w:hAnsiTheme="minorHAnsi"/>
          <w:sz w:val="24"/>
          <w:szCs w:val="24"/>
          <w:lang w:eastAsia="en-US"/>
        </w:rPr>
        <w:t>MiFID II-ben megh</w:t>
      </w:r>
      <w:r>
        <w:rPr>
          <w:rFonts w:asciiTheme="minorHAnsi" w:hAnsiTheme="minorHAnsi"/>
          <w:sz w:val="24"/>
          <w:szCs w:val="24"/>
          <w:lang w:eastAsia="en-US"/>
        </w:rPr>
        <w:t>atározott felhatalmazó rendelke</w:t>
      </w:r>
      <w:r w:rsidRPr="004C1AFA">
        <w:rPr>
          <w:rFonts w:asciiTheme="minorHAnsi" w:hAnsiTheme="minorHAnsi"/>
          <w:sz w:val="24"/>
          <w:szCs w:val="24"/>
          <w:lang w:eastAsia="en-US"/>
        </w:rPr>
        <w:t>zésekre, illetve a másodszintű sz</w:t>
      </w:r>
      <w:r w:rsidRPr="004C1AFA">
        <w:rPr>
          <w:rFonts w:asciiTheme="minorHAnsi" w:hAnsiTheme="minorHAnsi"/>
          <w:sz w:val="24"/>
          <w:szCs w:val="24"/>
          <w:lang w:eastAsia="en-US"/>
        </w:rPr>
        <w:t>a</w:t>
      </w:r>
      <w:r w:rsidRPr="004C1AFA">
        <w:rPr>
          <w:rFonts w:asciiTheme="minorHAnsi" w:hAnsiTheme="minorHAnsi"/>
          <w:sz w:val="24"/>
          <w:szCs w:val="24"/>
          <w:lang w:eastAsia="en-US"/>
        </w:rPr>
        <w:t xml:space="preserve">bályozásra nem tér ki, </w:t>
      </w:r>
      <w:r w:rsidR="00C7088D">
        <w:rPr>
          <w:rFonts w:asciiTheme="minorHAnsi" w:hAnsiTheme="minorHAnsi"/>
          <w:sz w:val="24"/>
          <w:szCs w:val="24"/>
          <w:lang w:eastAsia="en-US"/>
        </w:rPr>
        <w:t>azonban</w:t>
      </w:r>
      <w:r>
        <w:rPr>
          <w:rFonts w:asciiTheme="minorHAnsi" w:hAnsiTheme="minorHAnsi"/>
          <w:sz w:val="24"/>
          <w:szCs w:val="24"/>
          <w:lang w:eastAsia="en-US"/>
        </w:rPr>
        <w:t xml:space="preserve"> ezek is számos további, fon</w:t>
      </w:r>
      <w:r w:rsidRPr="004C1AFA">
        <w:rPr>
          <w:rFonts w:asciiTheme="minorHAnsi" w:hAnsiTheme="minorHAnsi"/>
          <w:sz w:val="24"/>
          <w:szCs w:val="24"/>
          <w:lang w:eastAsia="en-US"/>
        </w:rPr>
        <w:t>tos jelentőség</w:t>
      </w:r>
      <w:r>
        <w:rPr>
          <w:rFonts w:asciiTheme="minorHAnsi" w:hAnsiTheme="minorHAnsi"/>
          <w:sz w:val="24"/>
          <w:szCs w:val="24"/>
          <w:lang w:eastAsia="en-US"/>
        </w:rPr>
        <w:t>g</w:t>
      </w:r>
      <w:r w:rsidRPr="004C1AFA">
        <w:rPr>
          <w:rFonts w:asciiTheme="minorHAnsi" w:hAnsiTheme="minorHAnsi"/>
          <w:sz w:val="24"/>
          <w:szCs w:val="24"/>
          <w:lang w:eastAsia="en-US"/>
        </w:rPr>
        <w:t>el bíró előírást és rés</w:t>
      </w:r>
      <w:r w:rsidRPr="004C1AFA">
        <w:rPr>
          <w:rFonts w:asciiTheme="minorHAnsi" w:hAnsiTheme="minorHAnsi"/>
          <w:sz w:val="24"/>
          <w:szCs w:val="24"/>
          <w:lang w:eastAsia="en-US"/>
        </w:rPr>
        <w:t>z</w:t>
      </w:r>
      <w:r w:rsidRPr="004C1AFA">
        <w:rPr>
          <w:rFonts w:asciiTheme="minorHAnsi" w:hAnsiTheme="minorHAnsi"/>
          <w:sz w:val="24"/>
          <w:szCs w:val="24"/>
          <w:lang w:eastAsia="en-US"/>
        </w:rPr>
        <w:t>letszabályt fognak meghatározni.</w:t>
      </w:r>
    </w:p>
    <w:p w:rsidR="002A7305" w:rsidRPr="002A7305" w:rsidRDefault="002A7305" w:rsidP="004C1AFA">
      <w:pPr>
        <w:tabs>
          <w:tab w:val="left" w:pos="426"/>
        </w:tabs>
        <w:spacing w:after="120"/>
        <w:rPr>
          <w:rFonts w:asciiTheme="minorHAnsi" w:hAnsiTheme="minorHAnsi"/>
          <w:sz w:val="8"/>
          <w:szCs w:val="24"/>
          <w:lang w:eastAsia="en-US"/>
        </w:rPr>
      </w:pPr>
    </w:p>
    <w:p w:rsidR="004C1AFA" w:rsidRPr="00747A5C" w:rsidRDefault="004C1AFA" w:rsidP="004C1AFA">
      <w:pPr>
        <w:pStyle w:val="Listaszerbekezds"/>
        <w:numPr>
          <w:ilvl w:val="0"/>
          <w:numId w:val="12"/>
        </w:numPr>
        <w:tabs>
          <w:tab w:val="left" w:pos="426"/>
        </w:tabs>
        <w:spacing w:after="120"/>
        <w:rPr>
          <w:rFonts w:asciiTheme="minorHAnsi" w:hAnsiTheme="minorHAnsi"/>
          <w:b/>
          <w:sz w:val="24"/>
          <w:szCs w:val="24"/>
          <w:lang w:eastAsia="en-US"/>
        </w:rPr>
      </w:pPr>
      <w:r w:rsidRPr="00747A5C">
        <w:rPr>
          <w:rFonts w:asciiTheme="minorHAnsi" w:hAnsiTheme="minorHAnsi"/>
          <w:b/>
          <w:sz w:val="24"/>
          <w:szCs w:val="24"/>
          <w:lang w:eastAsia="en-US"/>
        </w:rPr>
        <w:t>A jogszabályok hatálya és célja</w:t>
      </w:r>
    </w:p>
    <w:p w:rsidR="004C1AFA" w:rsidRPr="004C1AFA" w:rsidRDefault="004C1AFA" w:rsidP="004C1AFA">
      <w:pPr>
        <w:tabs>
          <w:tab w:val="left" w:pos="426"/>
        </w:tabs>
        <w:spacing w:after="120"/>
        <w:rPr>
          <w:rFonts w:asciiTheme="minorHAnsi" w:hAnsiTheme="minorHAnsi"/>
          <w:sz w:val="24"/>
          <w:szCs w:val="24"/>
          <w:lang w:eastAsia="en-US"/>
        </w:rPr>
      </w:pPr>
      <w:r w:rsidRPr="004C1AFA">
        <w:rPr>
          <w:rFonts w:asciiTheme="minorHAnsi" w:hAnsiTheme="minorHAnsi"/>
          <w:sz w:val="24"/>
          <w:szCs w:val="24"/>
          <w:lang w:eastAsia="en-US"/>
        </w:rPr>
        <w:t xml:space="preserve">A </w:t>
      </w:r>
      <w:r w:rsidRPr="00117A31">
        <w:rPr>
          <w:rFonts w:asciiTheme="minorHAnsi" w:hAnsiTheme="minorHAnsi"/>
          <w:b/>
          <w:sz w:val="24"/>
          <w:szCs w:val="24"/>
          <w:lang w:eastAsia="en-US"/>
        </w:rPr>
        <w:t>MiFID II/MiFIR hatálya</w:t>
      </w:r>
      <w:r w:rsidRPr="004C1AFA">
        <w:rPr>
          <w:rFonts w:asciiTheme="minorHAnsi" w:hAnsiTheme="minorHAnsi"/>
          <w:sz w:val="24"/>
          <w:szCs w:val="24"/>
          <w:lang w:eastAsia="en-US"/>
        </w:rPr>
        <w:t xml:space="preserve"> a befektetési vállalkozásokra, befektetési szolgáltatásokat nyújtó hite</w:t>
      </w:r>
      <w:r w:rsidRPr="004C1AFA">
        <w:rPr>
          <w:rFonts w:asciiTheme="minorHAnsi" w:hAnsiTheme="minorHAnsi"/>
          <w:sz w:val="24"/>
          <w:szCs w:val="24"/>
          <w:lang w:eastAsia="en-US"/>
        </w:rPr>
        <w:t>l</w:t>
      </w:r>
      <w:r w:rsidRPr="004C1AFA">
        <w:rPr>
          <w:rFonts w:asciiTheme="minorHAnsi" w:hAnsiTheme="minorHAnsi"/>
          <w:sz w:val="24"/>
          <w:szCs w:val="24"/>
          <w:lang w:eastAsia="en-US"/>
        </w:rPr>
        <w:t>intézetekre, központi szerződő felekre, az EU-ban befektetési szolgáltatásokat nyújtó harmadik országbeli vállalkozásokra, az EMIR rendelet</w:t>
      </w:r>
      <w:r w:rsidR="00CF59A4">
        <w:rPr>
          <w:rStyle w:val="Lbjegyzet-hivatkozs"/>
          <w:rFonts w:asciiTheme="minorHAnsi" w:hAnsiTheme="minorHAnsi"/>
          <w:sz w:val="24"/>
          <w:szCs w:val="24"/>
          <w:lang w:eastAsia="en-US"/>
        </w:rPr>
        <w:footnoteReference w:id="1"/>
      </w:r>
      <w:r w:rsidRPr="004C1AFA">
        <w:rPr>
          <w:rFonts w:asciiTheme="minorHAnsi" w:hAnsiTheme="minorHAnsi"/>
          <w:sz w:val="24"/>
          <w:szCs w:val="24"/>
          <w:lang w:eastAsia="en-US"/>
        </w:rPr>
        <w:t xml:space="preserve"> 2. cikk 8. pontjában meghatározott pénzügyi sze</w:t>
      </w:r>
      <w:r w:rsidRPr="004C1AFA">
        <w:rPr>
          <w:rFonts w:asciiTheme="minorHAnsi" w:hAnsiTheme="minorHAnsi"/>
          <w:sz w:val="24"/>
          <w:szCs w:val="24"/>
          <w:lang w:eastAsia="en-US"/>
        </w:rPr>
        <w:t>r</w:t>
      </w:r>
      <w:r w:rsidRPr="004C1AFA">
        <w:rPr>
          <w:rFonts w:asciiTheme="minorHAnsi" w:hAnsiTheme="minorHAnsi"/>
          <w:sz w:val="24"/>
          <w:szCs w:val="24"/>
          <w:lang w:eastAsia="en-US"/>
        </w:rPr>
        <w:t>ződő felekre, valamint 10. cikk (1) bekezdésének b) pontjában meghatározott nem pénzügyi sze</w:t>
      </w:r>
      <w:r w:rsidRPr="004C1AFA">
        <w:rPr>
          <w:rFonts w:asciiTheme="minorHAnsi" w:hAnsiTheme="minorHAnsi"/>
          <w:sz w:val="24"/>
          <w:szCs w:val="24"/>
          <w:lang w:eastAsia="en-US"/>
        </w:rPr>
        <w:t>r</w:t>
      </w:r>
      <w:r w:rsidRPr="004C1AFA">
        <w:rPr>
          <w:rFonts w:asciiTheme="minorHAnsi" w:hAnsiTheme="minorHAnsi"/>
          <w:sz w:val="24"/>
          <w:szCs w:val="24"/>
          <w:lang w:eastAsia="en-US"/>
        </w:rPr>
        <w:t>ződő felekre terjed ki.</w:t>
      </w:r>
    </w:p>
    <w:p w:rsidR="004C1AFA" w:rsidRPr="004C1AFA" w:rsidRDefault="004C1AFA" w:rsidP="004C1AFA">
      <w:pPr>
        <w:tabs>
          <w:tab w:val="left" w:pos="426"/>
        </w:tabs>
        <w:spacing w:after="120"/>
        <w:rPr>
          <w:rFonts w:asciiTheme="minorHAnsi" w:hAnsiTheme="minorHAnsi"/>
          <w:sz w:val="24"/>
          <w:szCs w:val="24"/>
          <w:lang w:eastAsia="en-US"/>
        </w:rPr>
      </w:pPr>
      <w:r w:rsidRPr="004C1AFA">
        <w:rPr>
          <w:rFonts w:asciiTheme="minorHAnsi" w:hAnsiTheme="minorHAnsi"/>
          <w:sz w:val="24"/>
          <w:szCs w:val="24"/>
          <w:lang w:eastAsia="en-US"/>
        </w:rPr>
        <w:t xml:space="preserve">Az </w:t>
      </w:r>
      <w:r w:rsidRPr="00117A31">
        <w:rPr>
          <w:rFonts w:asciiTheme="minorHAnsi" w:hAnsiTheme="minorHAnsi"/>
          <w:b/>
          <w:sz w:val="24"/>
          <w:szCs w:val="24"/>
          <w:lang w:eastAsia="en-US"/>
        </w:rPr>
        <w:t>irányelv célja</w:t>
      </w:r>
      <w:r w:rsidRPr="004C1AFA">
        <w:rPr>
          <w:rFonts w:asciiTheme="minorHAnsi" w:hAnsiTheme="minorHAnsi"/>
          <w:sz w:val="24"/>
          <w:szCs w:val="24"/>
          <w:lang w:eastAsia="en-US"/>
        </w:rPr>
        <w:t xml:space="preserve"> egy olyan egységes pénzügyi piac létrehozása, mely a befektetők számára hat</w:t>
      </w:r>
      <w:r w:rsidRPr="004C1AFA">
        <w:rPr>
          <w:rFonts w:asciiTheme="minorHAnsi" w:hAnsiTheme="minorHAnsi"/>
          <w:sz w:val="24"/>
          <w:szCs w:val="24"/>
          <w:lang w:eastAsia="en-US"/>
        </w:rPr>
        <w:t>é</w:t>
      </w:r>
      <w:r w:rsidRPr="004C1AFA">
        <w:rPr>
          <w:rFonts w:asciiTheme="minorHAnsi" w:hAnsiTheme="minorHAnsi"/>
          <w:sz w:val="24"/>
          <w:szCs w:val="24"/>
          <w:lang w:eastAsia="en-US"/>
        </w:rPr>
        <w:t>kony védelmet biztosít és közös szabályozási követelményeket fogalmaz meg a befektetési válla</w:t>
      </w:r>
      <w:r w:rsidRPr="004C1AFA">
        <w:rPr>
          <w:rFonts w:asciiTheme="minorHAnsi" w:hAnsiTheme="minorHAnsi"/>
          <w:sz w:val="24"/>
          <w:szCs w:val="24"/>
          <w:lang w:eastAsia="en-US"/>
        </w:rPr>
        <w:t>l</w:t>
      </w:r>
      <w:r w:rsidRPr="004C1AFA">
        <w:rPr>
          <w:rFonts w:asciiTheme="minorHAnsi" w:hAnsiTheme="minorHAnsi"/>
          <w:sz w:val="24"/>
          <w:szCs w:val="24"/>
          <w:lang w:eastAsia="en-US"/>
        </w:rPr>
        <w:t>kozásokra vonatkozóan. Ennek érdekében meghatározza a befektetési vállalkozások engedély</w:t>
      </w:r>
      <w:r w:rsidRPr="004C1AFA">
        <w:rPr>
          <w:rFonts w:asciiTheme="minorHAnsi" w:hAnsiTheme="minorHAnsi"/>
          <w:sz w:val="24"/>
          <w:szCs w:val="24"/>
          <w:lang w:eastAsia="en-US"/>
        </w:rPr>
        <w:t>e</w:t>
      </w:r>
      <w:r w:rsidRPr="004C1AFA">
        <w:rPr>
          <w:rFonts w:asciiTheme="minorHAnsi" w:hAnsiTheme="minorHAnsi"/>
          <w:sz w:val="24"/>
          <w:szCs w:val="24"/>
          <w:lang w:eastAsia="en-US"/>
        </w:rPr>
        <w:t>zési és működési feltételeit, a szabályozott piacok és adatszolgáltatók engedélyezését és műkö</w:t>
      </w:r>
      <w:r w:rsidRPr="004C1AFA">
        <w:rPr>
          <w:rFonts w:asciiTheme="minorHAnsi" w:hAnsiTheme="minorHAnsi"/>
          <w:sz w:val="24"/>
          <w:szCs w:val="24"/>
          <w:lang w:eastAsia="en-US"/>
        </w:rPr>
        <w:t>d</w:t>
      </w:r>
      <w:r w:rsidRPr="004C1AFA">
        <w:rPr>
          <w:rFonts w:asciiTheme="minorHAnsi" w:hAnsiTheme="minorHAnsi"/>
          <w:sz w:val="24"/>
          <w:szCs w:val="24"/>
          <w:lang w:eastAsia="en-US"/>
        </w:rPr>
        <w:t xml:space="preserve">tetését, valamint az illetékes hatóságok általi felügyeletet. </w:t>
      </w:r>
      <w:r w:rsidR="00C7088D" w:rsidRPr="00C7088D">
        <w:rPr>
          <w:rFonts w:asciiTheme="minorHAnsi" w:hAnsiTheme="minorHAnsi"/>
          <w:sz w:val="24"/>
          <w:szCs w:val="24"/>
          <w:lang w:eastAsia="en-US"/>
        </w:rPr>
        <w:t>Az irányelv rendelkezéseit 2016. július 3-ig szükséges átülte</w:t>
      </w:r>
      <w:r w:rsidR="00C7088D">
        <w:rPr>
          <w:rFonts w:asciiTheme="minorHAnsi" w:hAnsiTheme="minorHAnsi"/>
          <w:sz w:val="24"/>
          <w:szCs w:val="24"/>
          <w:lang w:eastAsia="en-US"/>
        </w:rPr>
        <w:t>tni a hazai jogrendbe, mely ren</w:t>
      </w:r>
      <w:r w:rsidR="00C7088D" w:rsidRPr="00C7088D">
        <w:rPr>
          <w:rFonts w:asciiTheme="minorHAnsi" w:hAnsiTheme="minorHAnsi"/>
          <w:sz w:val="24"/>
          <w:szCs w:val="24"/>
          <w:lang w:eastAsia="en-US"/>
        </w:rPr>
        <w:t xml:space="preserve">delkezések </w:t>
      </w:r>
      <w:r w:rsidR="004D5F37" w:rsidRPr="00593944">
        <w:rPr>
          <w:rFonts w:asciiTheme="minorHAnsi" w:hAnsiTheme="minorHAnsi"/>
          <w:sz w:val="24"/>
          <w:szCs w:val="24"/>
          <w:lang w:eastAsia="en-US"/>
        </w:rPr>
        <w:t>–</w:t>
      </w:r>
      <w:r w:rsidR="00C7088D" w:rsidRPr="00C7088D">
        <w:rPr>
          <w:rFonts w:asciiTheme="minorHAnsi" w:hAnsiTheme="minorHAnsi"/>
          <w:sz w:val="24"/>
          <w:szCs w:val="24"/>
          <w:lang w:eastAsia="en-US"/>
        </w:rPr>
        <w:t xml:space="preserve"> a rendeletben megfogalmazott szabályokkal együ</w:t>
      </w:r>
      <w:r w:rsidR="00C7088D">
        <w:rPr>
          <w:rFonts w:asciiTheme="minorHAnsi" w:hAnsiTheme="minorHAnsi"/>
          <w:sz w:val="24"/>
          <w:szCs w:val="24"/>
          <w:lang w:eastAsia="en-US"/>
        </w:rPr>
        <w:t xml:space="preserve">tt </w:t>
      </w:r>
      <w:r w:rsidR="004D5F37" w:rsidRPr="00593944">
        <w:rPr>
          <w:rFonts w:asciiTheme="minorHAnsi" w:hAnsiTheme="minorHAnsi"/>
          <w:sz w:val="24"/>
          <w:szCs w:val="24"/>
          <w:lang w:eastAsia="en-US"/>
        </w:rPr>
        <w:t>–</w:t>
      </w:r>
      <w:r w:rsidR="00C7088D">
        <w:rPr>
          <w:rFonts w:asciiTheme="minorHAnsi" w:hAnsiTheme="minorHAnsi"/>
          <w:sz w:val="24"/>
          <w:szCs w:val="24"/>
          <w:lang w:eastAsia="en-US"/>
        </w:rPr>
        <w:t xml:space="preserve"> 2017. január 3-tól alkalma</w:t>
      </w:r>
      <w:r w:rsidR="00C7088D" w:rsidRPr="00C7088D">
        <w:rPr>
          <w:rFonts w:asciiTheme="minorHAnsi" w:hAnsiTheme="minorHAnsi"/>
          <w:sz w:val="24"/>
          <w:szCs w:val="24"/>
          <w:lang w:eastAsia="en-US"/>
        </w:rPr>
        <w:t>zandók.</w:t>
      </w:r>
    </w:p>
    <w:p w:rsidR="00FA359E" w:rsidRDefault="004C1AFA" w:rsidP="004C1AFA">
      <w:pPr>
        <w:tabs>
          <w:tab w:val="left" w:pos="426"/>
        </w:tabs>
        <w:spacing w:after="120"/>
        <w:rPr>
          <w:rFonts w:asciiTheme="minorHAnsi" w:hAnsiTheme="minorHAnsi"/>
          <w:sz w:val="24"/>
          <w:szCs w:val="24"/>
          <w:lang w:eastAsia="en-US"/>
        </w:rPr>
      </w:pPr>
      <w:r w:rsidRPr="004C1AFA">
        <w:rPr>
          <w:rFonts w:asciiTheme="minorHAnsi" w:hAnsiTheme="minorHAnsi"/>
          <w:sz w:val="24"/>
          <w:szCs w:val="24"/>
          <w:lang w:eastAsia="en-US"/>
        </w:rPr>
        <w:t xml:space="preserve">A </w:t>
      </w:r>
      <w:r w:rsidRPr="00117A31">
        <w:rPr>
          <w:rFonts w:asciiTheme="minorHAnsi" w:hAnsiTheme="minorHAnsi"/>
          <w:b/>
          <w:sz w:val="24"/>
          <w:szCs w:val="24"/>
          <w:lang w:eastAsia="en-US"/>
        </w:rPr>
        <w:t>rendelet célja</w:t>
      </w:r>
      <w:r w:rsidRPr="004C1AFA">
        <w:rPr>
          <w:rFonts w:asciiTheme="minorHAnsi" w:hAnsiTheme="minorHAnsi"/>
          <w:sz w:val="24"/>
          <w:szCs w:val="24"/>
          <w:lang w:eastAsia="en-US"/>
        </w:rPr>
        <w:t xml:space="preserve">, hogy a kereskedésre és a szabályozási átláthatósági előírásokra vonatkozóan fogalmazzon meg olyan előírásokat, melyek a rendeleti formából fakadóan minden befektetési vállalkozásra nézve közvetlenül alkalmazandók. </w:t>
      </w:r>
    </w:p>
    <w:p w:rsidR="00747A5C" w:rsidRDefault="002A7305" w:rsidP="004C1AFA">
      <w:pPr>
        <w:tabs>
          <w:tab w:val="left" w:pos="426"/>
        </w:tabs>
        <w:spacing w:after="120"/>
        <w:rPr>
          <w:rFonts w:asciiTheme="minorHAnsi" w:hAnsiTheme="minorHAnsi"/>
          <w:sz w:val="24"/>
          <w:szCs w:val="24"/>
          <w:lang w:eastAsia="en-US"/>
        </w:rPr>
      </w:pPr>
      <w:r w:rsidRPr="002A7305">
        <w:rPr>
          <w:rFonts w:asciiTheme="minorHAnsi" w:hAnsiTheme="minorHAnsi"/>
          <w:sz w:val="24"/>
          <w:szCs w:val="24"/>
          <w:lang w:eastAsia="en-US"/>
        </w:rPr>
        <w:t>Az irányelv és a rendelet együtt alkotja meg azt a jogi keretet, mely a befektetési szolgáltatási tevékenységet végzőkre, szabályozott piacokra és adatszolgáltatókra vonatkozó szabályokat fe</w:t>
      </w:r>
      <w:r w:rsidRPr="002A7305">
        <w:rPr>
          <w:rFonts w:asciiTheme="minorHAnsi" w:hAnsiTheme="minorHAnsi"/>
          <w:sz w:val="24"/>
          <w:szCs w:val="24"/>
          <w:lang w:eastAsia="en-US"/>
        </w:rPr>
        <w:t>k</w:t>
      </w:r>
      <w:r w:rsidRPr="002A7305">
        <w:rPr>
          <w:rFonts w:asciiTheme="minorHAnsi" w:hAnsiTheme="minorHAnsi"/>
          <w:sz w:val="24"/>
          <w:szCs w:val="24"/>
          <w:lang w:eastAsia="en-US"/>
        </w:rPr>
        <w:t>teti le.</w:t>
      </w:r>
    </w:p>
    <w:p w:rsidR="002A7305" w:rsidRDefault="002A7305" w:rsidP="004C1AFA">
      <w:pPr>
        <w:tabs>
          <w:tab w:val="left" w:pos="426"/>
        </w:tabs>
        <w:spacing w:after="120"/>
        <w:rPr>
          <w:rFonts w:asciiTheme="minorHAnsi" w:hAnsiTheme="minorHAnsi"/>
          <w:sz w:val="24"/>
          <w:szCs w:val="24"/>
          <w:lang w:eastAsia="en-US"/>
        </w:rPr>
      </w:pPr>
    </w:p>
    <w:p w:rsidR="00747A5C" w:rsidRPr="002A7305" w:rsidRDefault="00747A5C" w:rsidP="004C1AFA">
      <w:pPr>
        <w:tabs>
          <w:tab w:val="left" w:pos="426"/>
        </w:tabs>
        <w:spacing w:after="120"/>
        <w:rPr>
          <w:rFonts w:asciiTheme="minorHAnsi" w:hAnsiTheme="minorHAnsi"/>
          <w:sz w:val="2"/>
          <w:szCs w:val="24"/>
          <w:lang w:eastAsia="en-US"/>
        </w:rPr>
      </w:pPr>
    </w:p>
    <w:p w:rsidR="00593944" w:rsidRPr="002A7305" w:rsidRDefault="00593944" w:rsidP="00593944">
      <w:pPr>
        <w:pStyle w:val="Listaszerbekezds"/>
        <w:numPr>
          <w:ilvl w:val="0"/>
          <w:numId w:val="12"/>
        </w:numPr>
        <w:tabs>
          <w:tab w:val="left" w:pos="426"/>
        </w:tabs>
        <w:spacing w:after="120"/>
        <w:jc w:val="left"/>
        <w:rPr>
          <w:rFonts w:asciiTheme="minorHAnsi" w:hAnsiTheme="minorHAnsi"/>
          <w:b/>
          <w:sz w:val="24"/>
          <w:szCs w:val="24"/>
          <w:lang w:eastAsia="en-US"/>
        </w:rPr>
      </w:pPr>
      <w:r w:rsidRPr="002A7305">
        <w:rPr>
          <w:rFonts w:asciiTheme="minorHAnsi" w:hAnsiTheme="minorHAnsi"/>
          <w:b/>
          <w:sz w:val="24"/>
          <w:szCs w:val="24"/>
          <w:lang w:eastAsia="en-US"/>
        </w:rPr>
        <w:t>MiFID I és MiFID II közötti főbb szabályozási változások áttekintése</w:t>
      </w:r>
    </w:p>
    <w:p w:rsidR="00593944" w:rsidRPr="00FA359E" w:rsidRDefault="00593944" w:rsidP="00593944">
      <w:pPr>
        <w:tabs>
          <w:tab w:val="left" w:pos="426"/>
        </w:tabs>
        <w:spacing w:after="120"/>
        <w:ind w:left="720"/>
        <w:contextualSpacing/>
        <w:rPr>
          <w:rFonts w:asciiTheme="minorHAnsi" w:hAnsiTheme="minorHAnsi"/>
          <w:b/>
          <w:sz w:val="10"/>
          <w:szCs w:val="24"/>
          <w:lang w:eastAsia="en-US"/>
        </w:rPr>
      </w:pP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.1.</w:t>
      </w:r>
      <w:r w:rsidR="00593944" w:rsidRPr="00593944">
        <w:rPr>
          <w:rFonts w:asciiTheme="minorHAnsi" w:hAnsiTheme="minorHAnsi"/>
          <w:b/>
          <w:sz w:val="24"/>
          <w:szCs w:val="24"/>
          <w:lang w:eastAsia="en-US"/>
        </w:rPr>
        <w:tab/>
        <w:t>A kereskedési helyszínek új kategóriája</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 xml:space="preserve">A MiFID I a kereskedési helyszín fogalmát nem határozta meg, említésekor csupán zárójelben jelezte, hogy ez alatt a szabályozott piacokat, </w:t>
      </w:r>
      <w:r w:rsidR="00FA359E" w:rsidRPr="00593944">
        <w:rPr>
          <w:rFonts w:asciiTheme="minorHAnsi" w:hAnsiTheme="minorHAnsi"/>
          <w:sz w:val="24"/>
          <w:szCs w:val="24"/>
          <w:lang w:eastAsia="en-US"/>
        </w:rPr>
        <w:t>multilaterális kereskedési rendszer</w:t>
      </w:r>
      <w:r w:rsidR="00FA359E">
        <w:rPr>
          <w:rFonts w:asciiTheme="minorHAnsi" w:hAnsiTheme="minorHAnsi"/>
          <w:sz w:val="24"/>
          <w:szCs w:val="24"/>
          <w:lang w:eastAsia="en-US"/>
        </w:rPr>
        <w:t>eket (</w:t>
      </w:r>
      <w:r w:rsidR="002A7305">
        <w:rPr>
          <w:rFonts w:asciiTheme="minorHAnsi" w:hAnsiTheme="minorHAnsi"/>
          <w:sz w:val="24"/>
          <w:szCs w:val="24"/>
          <w:lang w:eastAsia="en-US"/>
        </w:rPr>
        <w:t>MTF</w:t>
      </w:r>
      <w:r w:rsidR="00FA359E">
        <w:rPr>
          <w:rFonts w:asciiTheme="minorHAnsi" w:hAnsiTheme="minorHAnsi"/>
          <w:sz w:val="24"/>
          <w:szCs w:val="24"/>
          <w:lang w:eastAsia="en-US"/>
        </w:rPr>
        <w:t>)</w:t>
      </w:r>
      <w:r w:rsidRPr="00593944">
        <w:rPr>
          <w:rFonts w:asciiTheme="minorHAnsi" w:hAnsiTheme="minorHAnsi"/>
          <w:sz w:val="24"/>
          <w:szCs w:val="24"/>
          <w:lang w:eastAsia="en-US"/>
        </w:rPr>
        <w:t xml:space="preserve"> és közvetítőket érti. Ezzel szemben a MiFID II fontos újítása, hogy meghatározza a kereskedési hel</w:t>
      </w:r>
      <w:r w:rsidRPr="00593944">
        <w:rPr>
          <w:rFonts w:asciiTheme="minorHAnsi" w:hAnsiTheme="minorHAnsi"/>
          <w:sz w:val="24"/>
          <w:szCs w:val="24"/>
          <w:lang w:eastAsia="en-US"/>
        </w:rPr>
        <w:t>y</w:t>
      </w:r>
      <w:r w:rsidRPr="00593944">
        <w:rPr>
          <w:rFonts w:asciiTheme="minorHAnsi" w:hAnsiTheme="minorHAnsi"/>
          <w:sz w:val="24"/>
          <w:szCs w:val="24"/>
          <w:lang w:eastAsia="en-US"/>
        </w:rPr>
        <w:t xml:space="preserve">színek fogalmát, mely szerint ez bármely szabályozott piac, </w:t>
      </w:r>
      <w:r w:rsidR="00FA359E">
        <w:rPr>
          <w:rFonts w:asciiTheme="minorHAnsi" w:hAnsiTheme="minorHAnsi"/>
          <w:sz w:val="24"/>
          <w:szCs w:val="24"/>
          <w:lang w:eastAsia="en-US"/>
        </w:rPr>
        <w:t>MTF</w:t>
      </w:r>
      <w:r w:rsidRPr="00593944">
        <w:rPr>
          <w:rFonts w:asciiTheme="minorHAnsi" w:hAnsiTheme="minorHAnsi"/>
          <w:sz w:val="24"/>
          <w:szCs w:val="24"/>
          <w:lang w:eastAsia="en-US"/>
        </w:rPr>
        <w:t xml:space="preserve"> vagy szervezett kereskedési rendszer (OTF). Ezzel létrehoz egy új kereskedési platformot, mely az uniós szabályozási keret alkalmazási körét bővíti, a meglévő kereskedési helyszíneket kiegészíti. Ez alapján az OTF multil</w:t>
      </w:r>
      <w:r w:rsidRPr="00593944">
        <w:rPr>
          <w:rFonts w:asciiTheme="minorHAnsi" w:hAnsiTheme="minorHAnsi"/>
          <w:sz w:val="24"/>
          <w:szCs w:val="24"/>
          <w:lang w:eastAsia="en-US"/>
        </w:rPr>
        <w:t>a</w:t>
      </w:r>
      <w:r w:rsidRPr="00593944">
        <w:rPr>
          <w:rFonts w:asciiTheme="minorHAnsi" w:hAnsiTheme="minorHAnsi"/>
          <w:sz w:val="24"/>
          <w:szCs w:val="24"/>
          <w:lang w:eastAsia="en-US"/>
        </w:rPr>
        <w:t>terális rendszer, amely nem szabályozott piac vagy MTF, és amelyben több, harmadik féltől szá</w:t>
      </w:r>
      <w:r w:rsidRPr="00593944">
        <w:rPr>
          <w:rFonts w:asciiTheme="minorHAnsi" w:hAnsiTheme="minorHAnsi"/>
          <w:sz w:val="24"/>
          <w:szCs w:val="24"/>
          <w:lang w:eastAsia="en-US"/>
        </w:rPr>
        <w:t>r</w:t>
      </w:r>
      <w:r w:rsidRPr="00593944">
        <w:rPr>
          <w:rFonts w:asciiTheme="minorHAnsi" w:hAnsiTheme="minorHAnsi"/>
          <w:sz w:val="24"/>
          <w:szCs w:val="24"/>
          <w:lang w:eastAsia="en-US"/>
        </w:rPr>
        <w:t>mazó, kötvények, strukturált pénzügyi eszközök, kibocsátási egységek és származtatott termékek vételi és eladási szándéka hozható össze a rendszeren belül. Fontos, hogy míg a szabályozott pi</w:t>
      </w:r>
      <w:r w:rsidRPr="00593944">
        <w:rPr>
          <w:rFonts w:asciiTheme="minorHAnsi" w:hAnsiTheme="minorHAnsi"/>
          <w:sz w:val="24"/>
          <w:szCs w:val="24"/>
          <w:lang w:eastAsia="en-US"/>
        </w:rPr>
        <w:t>a</w:t>
      </w:r>
      <w:r w:rsidRPr="00593944">
        <w:rPr>
          <w:rFonts w:asciiTheme="minorHAnsi" w:hAnsiTheme="minorHAnsi"/>
          <w:sz w:val="24"/>
          <w:szCs w:val="24"/>
          <w:lang w:eastAsia="en-US"/>
        </w:rPr>
        <w:t>cokra és az MTF-ekre az ügyleteknek a beavatkozást kizáró szabályok szerinti végrehajtása a je</w:t>
      </w:r>
      <w:r w:rsidRPr="00593944">
        <w:rPr>
          <w:rFonts w:asciiTheme="minorHAnsi" w:hAnsiTheme="minorHAnsi"/>
          <w:sz w:val="24"/>
          <w:szCs w:val="24"/>
          <w:lang w:eastAsia="en-US"/>
        </w:rPr>
        <w:t>l</w:t>
      </w:r>
      <w:r w:rsidRPr="00593944">
        <w:rPr>
          <w:rFonts w:asciiTheme="minorHAnsi" w:hAnsiTheme="minorHAnsi"/>
          <w:sz w:val="24"/>
          <w:szCs w:val="24"/>
          <w:lang w:eastAsia="en-US"/>
        </w:rPr>
        <w:t xml:space="preserve">lemző, az OTF működtetője a megbízást mérlegelési alapon hajtja végre.  Ez a mérlegelési jogkör két szinten érvényesülhet, egyrészt az OTF-ben megbízás leadása vagy visszavonása kapcsán, másrészt, amikor – bizonyos feltételek esetén </w:t>
      </w:r>
      <w:r w:rsidR="004D5F37" w:rsidRPr="00593944">
        <w:rPr>
          <w:rFonts w:asciiTheme="minorHAnsi" w:hAnsiTheme="minorHAnsi"/>
          <w:sz w:val="24"/>
          <w:szCs w:val="24"/>
          <w:lang w:eastAsia="en-US"/>
        </w:rPr>
        <w:t>–</w:t>
      </w:r>
      <w:r w:rsidRPr="00593944">
        <w:rPr>
          <w:rFonts w:asciiTheme="minorHAnsi" w:hAnsiTheme="minorHAnsi"/>
          <w:sz w:val="24"/>
          <w:szCs w:val="24"/>
          <w:lang w:eastAsia="en-US"/>
        </w:rPr>
        <w:t xml:space="preserve"> egy adott megbízást nem párosít az adott id</w:t>
      </w:r>
      <w:r w:rsidRPr="00593944">
        <w:rPr>
          <w:rFonts w:asciiTheme="minorHAnsi" w:hAnsiTheme="minorHAnsi"/>
          <w:sz w:val="24"/>
          <w:szCs w:val="24"/>
          <w:lang w:eastAsia="en-US"/>
        </w:rPr>
        <w:t>ő</w:t>
      </w:r>
      <w:r w:rsidRPr="00593944">
        <w:rPr>
          <w:rFonts w:asciiTheme="minorHAnsi" w:hAnsiTheme="minorHAnsi"/>
          <w:sz w:val="24"/>
          <w:szCs w:val="24"/>
          <w:lang w:eastAsia="en-US"/>
        </w:rPr>
        <w:t>pontban a rendszerben rendelkezésre álló megbízásokkal.</w:t>
      </w:r>
    </w:p>
    <w:p w:rsidR="00593944" w:rsidRPr="00593944" w:rsidRDefault="00593944" w:rsidP="00593944">
      <w:pPr>
        <w:tabs>
          <w:tab w:val="left" w:pos="426"/>
        </w:tabs>
        <w:spacing w:after="120"/>
        <w:rPr>
          <w:rFonts w:asciiTheme="minorHAnsi" w:hAnsiTheme="minorHAnsi"/>
          <w:sz w:val="6"/>
          <w:szCs w:val="24"/>
          <w:lang w:eastAsia="en-US"/>
        </w:rPr>
      </w:pPr>
    </w:p>
    <w:tbl>
      <w:tblPr>
        <w:tblStyle w:val="tblzat-fejlces"/>
        <w:tblW w:w="0" w:type="auto"/>
        <w:tblLook w:val="04A0" w:firstRow="1" w:lastRow="0" w:firstColumn="1" w:lastColumn="0" w:noHBand="0" w:noVBand="1"/>
      </w:tblPr>
      <w:tblGrid>
        <w:gridCol w:w="1951"/>
        <w:gridCol w:w="1701"/>
        <w:gridCol w:w="5635"/>
      </w:tblGrid>
      <w:tr w:rsidR="00593944" w:rsidRPr="00593944" w:rsidTr="00D43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3"/>
          </w:tcPr>
          <w:p w:rsidR="00593944" w:rsidRPr="00593944" w:rsidRDefault="00593944" w:rsidP="00593944">
            <w:pPr>
              <w:jc w:val="center"/>
              <w:rPr>
                <w:b/>
                <w:szCs w:val="20"/>
              </w:rPr>
            </w:pPr>
            <w:r w:rsidRPr="00593944">
              <w:rPr>
                <w:b/>
                <w:szCs w:val="20"/>
              </w:rPr>
              <w:t>MiFID II szerinti piaci infrastruktúra</w:t>
            </w:r>
          </w:p>
        </w:tc>
      </w:tr>
      <w:tr w:rsidR="00593944" w:rsidRPr="00593944" w:rsidTr="00D433CF">
        <w:tc>
          <w:tcPr>
            <w:cnfStyle w:val="001000000000" w:firstRow="0" w:lastRow="0" w:firstColumn="1" w:lastColumn="0" w:oddVBand="0" w:evenVBand="0" w:oddHBand="0" w:evenHBand="0" w:firstRowFirstColumn="0" w:firstRowLastColumn="0" w:lastRowFirstColumn="0" w:lastRowLastColumn="0"/>
            <w:tcW w:w="1951" w:type="dxa"/>
          </w:tcPr>
          <w:p w:rsidR="00593944" w:rsidRPr="00593944" w:rsidRDefault="00593944" w:rsidP="00593944">
            <w:pPr>
              <w:rPr>
                <w:szCs w:val="20"/>
              </w:rPr>
            </w:pPr>
            <w:r w:rsidRPr="00593944">
              <w:rPr>
                <w:szCs w:val="20"/>
              </w:rPr>
              <w:t>szabályozott piac</w:t>
            </w:r>
          </w:p>
        </w:tc>
        <w:tc>
          <w:tcPr>
            <w:tcW w:w="1701" w:type="dxa"/>
            <w:vMerge w:val="restart"/>
          </w:tcPr>
          <w:p w:rsidR="00593944" w:rsidRPr="00593944" w:rsidRDefault="00593944" w:rsidP="00593944">
            <w:pPr>
              <w:jc w:val="center"/>
              <w:cnfStyle w:val="000000000000" w:firstRow="0" w:lastRow="0" w:firstColumn="0" w:lastColumn="0" w:oddVBand="0" w:evenVBand="0" w:oddHBand="0" w:evenHBand="0" w:firstRowFirstColumn="0" w:firstRowLastColumn="0" w:lastRowFirstColumn="0" w:lastRowLastColumn="0"/>
              <w:rPr>
                <w:szCs w:val="20"/>
              </w:rPr>
            </w:pPr>
            <w:r w:rsidRPr="00593944">
              <w:rPr>
                <w:szCs w:val="20"/>
              </w:rPr>
              <w:t xml:space="preserve">multilaterális rendszerek: </w:t>
            </w:r>
          </w:p>
          <w:p w:rsidR="00593944" w:rsidRPr="00593944" w:rsidRDefault="00593944" w:rsidP="00593944">
            <w:pPr>
              <w:jc w:val="center"/>
              <w:cnfStyle w:val="000000000000" w:firstRow="0" w:lastRow="0" w:firstColumn="0" w:lastColumn="0" w:oddVBand="0" w:evenVBand="0" w:oddHBand="0" w:evenHBand="0" w:firstRowFirstColumn="0" w:firstRowLastColumn="0" w:lastRowFirstColumn="0" w:lastRowLastColumn="0"/>
              <w:rPr>
                <w:szCs w:val="20"/>
              </w:rPr>
            </w:pPr>
            <w:r w:rsidRPr="00593944">
              <w:rPr>
                <w:szCs w:val="20"/>
              </w:rPr>
              <w:t>több harmadik fél pénzügyi eszk</w:t>
            </w:r>
            <w:r w:rsidRPr="00593944">
              <w:rPr>
                <w:szCs w:val="20"/>
              </w:rPr>
              <w:t>ö</w:t>
            </w:r>
            <w:r w:rsidRPr="00593944">
              <w:rPr>
                <w:szCs w:val="20"/>
              </w:rPr>
              <w:t>zökre irányuló vételi és eladási szándékának összehozása</w:t>
            </w:r>
          </w:p>
        </w:tc>
        <w:tc>
          <w:tcPr>
            <w:tcW w:w="5635" w:type="dxa"/>
          </w:tcPr>
          <w:p w:rsidR="00593944" w:rsidRPr="00593944" w:rsidRDefault="00593944" w:rsidP="00593944">
            <w:pPr>
              <w:cnfStyle w:val="000000000000" w:firstRow="0" w:lastRow="0" w:firstColumn="0" w:lastColumn="0" w:oddVBand="0" w:evenVBand="0" w:oddHBand="0" w:evenHBand="0" w:firstRowFirstColumn="0" w:firstRowLastColumn="0" w:lastRowFirstColumn="0" w:lastRowLastColumn="0"/>
              <w:rPr>
                <w:szCs w:val="20"/>
              </w:rPr>
            </w:pPr>
            <w:r w:rsidRPr="00593944">
              <w:rPr>
                <w:szCs w:val="20"/>
              </w:rPr>
              <w:t>a piacműködtető által működtetett, illetve irányított multilaterális rendszer, amely összehozza több harmadik fél pénzügyi eszközö</w:t>
            </w:r>
            <w:r w:rsidRPr="00593944">
              <w:rPr>
                <w:szCs w:val="20"/>
              </w:rPr>
              <w:t>k</w:t>
            </w:r>
            <w:r w:rsidRPr="00593944">
              <w:rPr>
                <w:szCs w:val="20"/>
              </w:rPr>
              <w:t>ben lévő vételi és eladási szándékát, vagy elősegíti ezt oly módon, hogy az szerződést eredményez a szabályai és/vagy rendszerei alapján kereskedésre bevezetett pénzügyi eszköz tekintetében</w:t>
            </w:r>
          </w:p>
        </w:tc>
      </w:tr>
      <w:tr w:rsidR="00593944" w:rsidRPr="00593944" w:rsidTr="00D433CF">
        <w:tc>
          <w:tcPr>
            <w:cnfStyle w:val="001000000000" w:firstRow="0" w:lastRow="0" w:firstColumn="1" w:lastColumn="0" w:oddVBand="0" w:evenVBand="0" w:oddHBand="0" w:evenHBand="0" w:firstRowFirstColumn="0" w:firstRowLastColumn="0" w:lastRowFirstColumn="0" w:lastRowLastColumn="0"/>
            <w:tcW w:w="1951" w:type="dxa"/>
          </w:tcPr>
          <w:p w:rsidR="00593944" w:rsidRPr="00593944" w:rsidRDefault="00593944" w:rsidP="00593944">
            <w:pPr>
              <w:rPr>
                <w:szCs w:val="20"/>
              </w:rPr>
            </w:pPr>
            <w:r w:rsidRPr="00593944">
              <w:rPr>
                <w:szCs w:val="20"/>
              </w:rPr>
              <w:t>multilaterális kere</w:t>
            </w:r>
            <w:r w:rsidRPr="00593944">
              <w:rPr>
                <w:szCs w:val="20"/>
              </w:rPr>
              <w:t>s</w:t>
            </w:r>
            <w:r w:rsidRPr="00593944">
              <w:rPr>
                <w:szCs w:val="20"/>
              </w:rPr>
              <w:t>kedési rendszer</w:t>
            </w:r>
          </w:p>
        </w:tc>
        <w:tc>
          <w:tcPr>
            <w:tcW w:w="1701" w:type="dxa"/>
            <w:vMerge/>
          </w:tcPr>
          <w:p w:rsidR="00593944" w:rsidRPr="00593944" w:rsidRDefault="00593944" w:rsidP="00593944">
            <w:pPr>
              <w:cnfStyle w:val="000000000000" w:firstRow="0" w:lastRow="0" w:firstColumn="0" w:lastColumn="0" w:oddVBand="0" w:evenVBand="0" w:oddHBand="0" w:evenHBand="0" w:firstRowFirstColumn="0" w:firstRowLastColumn="0" w:lastRowFirstColumn="0" w:lastRowLastColumn="0"/>
              <w:rPr>
                <w:szCs w:val="20"/>
              </w:rPr>
            </w:pPr>
          </w:p>
        </w:tc>
        <w:tc>
          <w:tcPr>
            <w:tcW w:w="5635" w:type="dxa"/>
          </w:tcPr>
          <w:p w:rsidR="00593944" w:rsidRPr="00593944" w:rsidRDefault="00593944" w:rsidP="00593944">
            <w:pPr>
              <w:cnfStyle w:val="000000000000" w:firstRow="0" w:lastRow="0" w:firstColumn="0" w:lastColumn="0" w:oddVBand="0" w:evenVBand="0" w:oddHBand="0" w:evenHBand="0" w:firstRowFirstColumn="0" w:firstRowLastColumn="0" w:lastRowFirstColumn="0" w:lastRowLastColumn="0"/>
              <w:rPr>
                <w:szCs w:val="20"/>
              </w:rPr>
            </w:pPr>
            <w:r w:rsidRPr="00593944">
              <w:rPr>
                <w:szCs w:val="20"/>
              </w:rPr>
              <w:t>valamely befektetési vállalkozás vagy piacműködtető által műkö</w:t>
            </w:r>
            <w:r w:rsidRPr="00593944">
              <w:rPr>
                <w:szCs w:val="20"/>
              </w:rPr>
              <w:t>d</w:t>
            </w:r>
            <w:r w:rsidRPr="00593944">
              <w:rPr>
                <w:szCs w:val="20"/>
              </w:rPr>
              <w:t xml:space="preserve">tetett multilaterális rendszer, amely több harmadik fél pénzügyi eszközökre irányuló vételi és eladási szándékát hozza össze oly módon, hogy az szerződést eredményez </w:t>
            </w:r>
          </w:p>
        </w:tc>
      </w:tr>
      <w:tr w:rsidR="00593944" w:rsidRPr="00593944" w:rsidTr="00D433CF">
        <w:tc>
          <w:tcPr>
            <w:cnfStyle w:val="001000000000" w:firstRow="0" w:lastRow="0" w:firstColumn="1" w:lastColumn="0" w:oddVBand="0" w:evenVBand="0" w:oddHBand="0" w:evenHBand="0" w:firstRowFirstColumn="0" w:firstRowLastColumn="0" w:lastRowFirstColumn="0" w:lastRowLastColumn="0"/>
            <w:tcW w:w="1951" w:type="dxa"/>
            <w:shd w:val="clear" w:color="auto" w:fill="F1E2C5" w:themeFill="accent1" w:themeFillTint="33"/>
          </w:tcPr>
          <w:p w:rsidR="00593944" w:rsidRPr="002A7305" w:rsidRDefault="00593944" w:rsidP="00593944">
            <w:pPr>
              <w:rPr>
                <w:b/>
                <w:szCs w:val="20"/>
              </w:rPr>
            </w:pPr>
            <w:r w:rsidRPr="002A7305">
              <w:rPr>
                <w:b/>
                <w:szCs w:val="20"/>
              </w:rPr>
              <w:t>szervezett keresk</w:t>
            </w:r>
            <w:r w:rsidRPr="002A7305">
              <w:rPr>
                <w:b/>
                <w:szCs w:val="20"/>
              </w:rPr>
              <w:t>e</w:t>
            </w:r>
            <w:r w:rsidRPr="002A7305">
              <w:rPr>
                <w:b/>
                <w:szCs w:val="20"/>
              </w:rPr>
              <w:t>dési rendszer</w:t>
            </w:r>
            <w:r w:rsidR="002A7305" w:rsidRPr="002A7305">
              <w:rPr>
                <w:b/>
                <w:szCs w:val="20"/>
              </w:rPr>
              <w:t xml:space="preserve"> (OTF)</w:t>
            </w:r>
          </w:p>
        </w:tc>
        <w:tc>
          <w:tcPr>
            <w:tcW w:w="1701" w:type="dxa"/>
            <w:vMerge/>
            <w:shd w:val="clear" w:color="auto" w:fill="F1E2C5" w:themeFill="accent1" w:themeFillTint="33"/>
          </w:tcPr>
          <w:p w:rsidR="00593944" w:rsidRPr="00593944" w:rsidRDefault="00593944" w:rsidP="00593944">
            <w:pPr>
              <w:cnfStyle w:val="000000000000" w:firstRow="0" w:lastRow="0" w:firstColumn="0" w:lastColumn="0" w:oddVBand="0" w:evenVBand="0" w:oddHBand="0" w:evenHBand="0" w:firstRowFirstColumn="0" w:firstRowLastColumn="0" w:lastRowFirstColumn="0" w:lastRowLastColumn="0"/>
              <w:rPr>
                <w:szCs w:val="20"/>
              </w:rPr>
            </w:pPr>
          </w:p>
        </w:tc>
        <w:tc>
          <w:tcPr>
            <w:tcW w:w="5635" w:type="dxa"/>
            <w:shd w:val="clear" w:color="auto" w:fill="F1E2C5" w:themeFill="accent1" w:themeFillTint="33"/>
          </w:tcPr>
          <w:p w:rsidR="00593944" w:rsidRPr="00593944" w:rsidRDefault="00593944" w:rsidP="00593944">
            <w:pPr>
              <w:cnfStyle w:val="000000000000" w:firstRow="0" w:lastRow="0" w:firstColumn="0" w:lastColumn="0" w:oddVBand="0" w:evenVBand="0" w:oddHBand="0" w:evenHBand="0" w:firstRowFirstColumn="0" w:firstRowLastColumn="0" w:lastRowFirstColumn="0" w:lastRowLastColumn="0"/>
              <w:rPr>
                <w:szCs w:val="20"/>
              </w:rPr>
            </w:pPr>
            <w:r w:rsidRPr="00593944">
              <w:rPr>
                <w:szCs w:val="20"/>
              </w:rPr>
              <w:t>multilaterális rendszer, amely nem szabályozott piac vagy MTF, és amelyben több, harmadik féltől származó, kötvények, strukturált pénzügyi eszközök, kibocsátási egységek és származtatott term</w:t>
            </w:r>
            <w:r w:rsidRPr="00593944">
              <w:rPr>
                <w:szCs w:val="20"/>
              </w:rPr>
              <w:t>é</w:t>
            </w:r>
            <w:r w:rsidRPr="00593944">
              <w:rPr>
                <w:szCs w:val="20"/>
              </w:rPr>
              <w:t xml:space="preserve">kek vételi és eladási szándéka hozható össze a rendszeren belül, oly módon, hogy az szerződést eredményez </w:t>
            </w:r>
          </w:p>
        </w:tc>
      </w:tr>
    </w:tbl>
    <w:p w:rsidR="00593944" w:rsidRPr="00593944" w:rsidRDefault="00593944" w:rsidP="00593944">
      <w:pPr>
        <w:tabs>
          <w:tab w:val="left" w:pos="426"/>
        </w:tabs>
        <w:spacing w:after="120"/>
        <w:rPr>
          <w:rFonts w:asciiTheme="minorHAnsi" w:hAnsiTheme="minorHAnsi"/>
          <w:sz w:val="24"/>
          <w:szCs w:val="24"/>
          <w:lang w:eastAsia="en-US"/>
        </w:rPr>
      </w:pP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kereskedési helyszínek vonatkozásában a MiFIR-ben megfogalmazott fontos alapelv, hogy mi</w:t>
      </w:r>
      <w:r w:rsidRPr="00593944">
        <w:rPr>
          <w:rFonts w:asciiTheme="minorHAnsi" w:hAnsiTheme="minorHAnsi"/>
          <w:sz w:val="24"/>
          <w:szCs w:val="24"/>
          <w:lang w:eastAsia="en-US"/>
        </w:rPr>
        <w:t>n</w:t>
      </w:r>
      <w:r w:rsidRPr="00593944">
        <w:rPr>
          <w:rFonts w:asciiTheme="minorHAnsi" w:hAnsiTheme="minorHAnsi"/>
          <w:sz w:val="24"/>
          <w:szCs w:val="24"/>
          <w:lang w:eastAsia="en-US"/>
        </w:rPr>
        <w:t xml:space="preserve">den szervezett kereskedésnek szabályozott helyszíneken kell történnie, a kereskedés előtti és utáni – különböző típusú helyszínek vonatkozásában egységes előírások mellett történő </w:t>
      </w:r>
      <w:r w:rsidR="004D5F37" w:rsidRPr="00593944">
        <w:rPr>
          <w:rFonts w:asciiTheme="minorHAnsi" w:hAnsiTheme="minorHAnsi"/>
          <w:sz w:val="24"/>
          <w:szCs w:val="24"/>
          <w:lang w:eastAsia="en-US"/>
        </w:rPr>
        <w:t>–</w:t>
      </w:r>
      <w:r w:rsidRPr="00593944">
        <w:rPr>
          <w:rFonts w:asciiTheme="minorHAnsi" w:hAnsiTheme="minorHAnsi"/>
          <w:sz w:val="24"/>
          <w:szCs w:val="24"/>
          <w:lang w:eastAsia="en-US"/>
        </w:rPr>
        <w:t xml:space="preserve"> minél magasabb szi</w:t>
      </w:r>
      <w:r w:rsidR="002A7305">
        <w:rPr>
          <w:rFonts w:asciiTheme="minorHAnsi" w:hAnsiTheme="minorHAnsi"/>
          <w:sz w:val="24"/>
          <w:szCs w:val="24"/>
          <w:lang w:eastAsia="en-US"/>
        </w:rPr>
        <w:t>ntű átláthatóság biztosításával!</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.2.</w:t>
      </w:r>
      <w:r w:rsidR="00593944" w:rsidRPr="00593944">
        <w:rPr>
          <w:rFonts w:asciiTheme="minorHAnsi" w:hAnsiTheme="minorHAnsi"/>
          <w:b/>
          <w:sz w:val="24"/>
          <w:szCs w:val="24"/>
          <w:lang w:eastAsia="en-US"/>
        </w:rPr>
        <w:tab/>
        <w:t>Adatszolgáltatók</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II-ben új szabályként jelenik meg az adatszolgáltatók engedélyezésére és működési fe</w:t>
      </w:r>
      <w:r w:rsidRPr="00593944">
        <w:rPr>
          <w:rFonts w:asciiTheme="minorHAnsi" w:hAnsiTheme="minorHAnsi"/>
          <w:sz w:val="24"/>
          <w:szCs w:val="24"/>
          <w:lang w:eastAsia="en-US"/>
        </w:rPr>
        <w:t>l</w:t>
      </w:r>
      <w:r w:rsidRPr="00593944">
        <w:rPr>
          <w:rFonts w:asciiTheme="minorHAnsi" w:hAnsiTheme="minorHAnsi"/>
          <w:sz w:val="24"/>
          <w:szCs w:val="24"/>
          <w:lang w:eastAsia="en-US"/>
        </w:rPr>
        <w:t>tételeire vonatkozó témakör. Definíció szerint adatszolgáltató bármely APA (jóváhagyott közzét</w:t>
      </w:r>
      <w:r w:rsidRPr="00593944">
        <w:rPr>
          <w:rFonts w:asciiTheme="minorHAnsi" w:hAnsiTheme="minorHAnsi"/>
          <w:sz w:val="24"/>
          <w:szCs w:val="24"/>
          <w:lang w:eastAsia="en-US"/>
        </w:rPr>
        <w:t>é</w:t>
      </w:r>
      <w:r w:rsidR="00117A31">
        <w:rPr>
          <w:rFonts w:asciiTheme="minorHAnsi" w:hAnsiTheme="minorHAnsi"/>
          <w:sz w:val="24"/>
          <w:szCs w:val="24"/>
          <w:lang w:eastAsia="en-US"/>
        </w:rPr>
        <w:lastRenderedPageBreak/>
        <w:t>teli mechanizmus</w:t>
      </w:r>
      <w:r w:rsidRPr="00593944">
        <w:rPr>
          <w:rFonts w:asciiTheme="minorHAnsi" w:hAnsiTheme="minorHAnsi"/>
          <w:sz w:val="24"/>
          <w:szCs w:val="24"/>
          <w:lang w:eastAsia="en-US"/>
        </w:rPr>
        <w:t>), C</w:t>
      </w:r>
      <w:r w:rsidR="00117A31">
        <w:rPr>
          <w:rFonts w:asciiTheme="minorHAnsi" w:hAnsiTheme="minorHAnsi"/>
          <w:sz w:val="24"/>
          <w:szCs w:val="24"/>
          <w:lang w:eastAsia="en-US"/>
        </w:rPr>
        <w:t>TP (összesítettadat-szolgáltató</w:t>
      </w:r>
      <w:r w:rsidRPr="00593944">
        <w:rPr>
          <w:rFonts w:asciiTheme="minorHAnsi" w:hAnsiTheme="minorHAnsi"/>
          <w:sz w:val="24"/>
          <w:szCs w:val="24"/>
          <w:lang w:eastAsia="en-US"/>
        </w:rPr>
        <w:t>) vagy ARM (jóváhagyott jelentési mechani</w:t>
      </w:r>
      <w:r w:rsidRPr="00593944">
        <w:rPr>
          <w:rFonts w:asciiTheme="minorHAnsi" w:hAnsiTheme="minorHAnsi"/>
          <w:sz w:val="24"/>
          <w:szCs w:val="24"/>
          <w:lang w:eastAsia="en-US"/>
        </w:rPr>
        <w:t>z</w:t>
      </w:r>
      <w:r w:rsidR="002A7305">
        <w:rPr>
          <w:rFonts w:asciiTheme="minorHAnsi" w:hAnsiTheme="minorHAnsi"/>
          <w:sz w:val="24"/>
          <w:szCs w:val="24"/>
          <w:lang w:eastAsia="en-US"/>
        </w:rPr>
        <w:t>mus</w:t>
      </w:r>
      <w:r w:rsidRPr="00593944">
        <w:rPr>
          <w:rFonts w:asciiTheme="minorHAnsi" w:hAnsiTheme="minorHAnsi"/>
          <w:sz w:val="24"/>
          <w:szCs w:val="24"/>
          <w:lang w:eastAsia="en-US"/>
        </w:rPr>
        <w:t xml:space="preserve">).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 előírja, hogy a tagállamok engedélyezik az APA, CTP és ARM révén történő adatszolgá</w:t>
      </w:r>
      <w:r w:rsidRPr="00593944">
        <w:rPr>
          <w:rFonts w:asciiTheme="minorHAnsi" w:hAnsiTheme="minorHAnsi"/>
          <w:sz w:val="24"/>
          <w:szCs w:val="24"/>
          <w:lang w:eastAsia="en-US"/>
        </w:rPr>
        <w:t>l</w:t>
      </w:r>
      <w:r w:rsidRPr="00593944">
        <w:rPr>
          <w:rFonts w:asciiTheme="minorHAnsi" w:hAnsiTheme="minorHAnsi"/>
          <w:sz w:val="24"/>
          <w:szCs w:val="24"/>
          <w:lang w:eastAsia="en-US"/>
        </w:rPr>
        <w:t>tatás működtetését, nyilvántartják valamennyi adatszolgáltatót, valamint a szolgáltatásaik az ill</w:t>
      </w:r>
      <w:r w:rsidRPr="00593944">
        <w:rPr>
          <w:rFonts w:asciiTheme="minorHAnsi" w:hAnsiTheme="minorHAnsi"/>
          <w:sz w:val="24"/>
          <w:szCs w:val="24"/>
          <w:lang w:eastAsia="en-US"/>
        </w:rPr>
        <w:t>e</w:t>
      </w:r>
      <w:r w:rsidRPr="00593944">
        <w:rPr>
          <w:rFonts w:asciiTheme="minorHAnsi" w:hAnsiTheme="minorHAnsi"/>
          <w:sz w:val="24"/>
          <w:szCs w:val="24"/>
          <w:lang w:eastAsia="en-US"/>
        </w:rPr>
        <w:t xml:space="preserve">tékes hatóság felügyelete alatt végezhetők. Ezen kívül, az irányelv részletesen meghatározza az adatszolgáltatók vezető testületére vonatkozó előírásokat (például kellően jó hírnévvel, elegendő ismerettel, készséggel és tapasztalattal való rendelkezés), valamint az APA-kra, CTP-kre és ARM-ekre vonatkozó szervezeti követelményeket. </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.3.</w:t>
      </w:r>
      <w:r w:rsidR="00593944" w:rsidRPr="00593944">
        <w:rPr>
          <w:rFonts w:asciiTheme="minorHAnsi" w:hAnsiTheme="minorHAnsi"/>
          <w:b/>
          <w:sz w:val="24"/>
          <w:szCs w:val="24"/>
          <w:lang w:eastAsia="en-US"/>
        </w:rPr>
        <w:tab/>
        <w:t>Legjobb végrehajtás (best execution)</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 xml:space="preserve">A hatályos szabályozásban is létező alapelv, hogy a befektetési vállalkozásoknak megbízásaikat az ügyfél számára a lehető legkedvezőbb feltételek mellett kell végrehajtaniuk, figyelembe véve többek között a pénzügyi eszköz árát és tulajdonságait, a végrehajtás költségét és időigényét, valamint a végrehajthatóság és teljesítés </w:t>
      </w:r>
      <w:proofErr w:type="gramStart"/>
      <w:r w:rsidRPr="00593944">
        <w:rPr>
          <w:rFonts w:asciiTheme="minorHAnsi" w:hAnsiTheme="minorHAnsi"/>
          <w:sz w:val="24"/>
          <w:szCs w:val="24"/>
          <w:lang w:eastAsia="en-US"/>
        </w:rPr>
        <w:t>valószínűség</w:t>
      </w:r>
      <w:r w:rsidR="002A7305">
        <w:rPr>
          <w:rFonts w:asciiTheme="minorHAnsi" w:hAnsiTheme="minorHAnsi"/>
          <w:sz w:val="24"/>
          <w:szCs w:val="24"/>
          <w:lang w:eastAsia="en-US"/>
        </w:rPr>
        <w:t>ét</w:t>
      </w:r>
      <w:r w:rsidR="002A7305">
        <w:rPr>
          <w:rStyle w:val="Lbjegyzet-hivatkozs"/>
          <w:rFonts w:asciiTheme="minorHAnsi" w:hAnsiTheme="minorHAnsi"/>
          <w:sz w:val="24"/>
          <w:szCs w:val="24"/>
          <w:lang w:eastAsia="en-US"/>
        </w:rPr>
        <w:footnoteReference w:id="2"/>
      </w:r>
      <w:r w:rsidR="002A7305">
        <w:rPr>
          <w:rFonts w:asciiTheme="minorHAnsi" w:hAnsiTheme="minorHAnsi"/>
          <w:sz w:val="24"/>
          <w:szCs w:val="24"/>
          <w:lang w:eastAsia="en-US"/>
        </w:rPr>
        <w:t>.</w:t>
      </w:r>
      <w:proofErr w:type="gramEnd"/>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 egyfelől új követelményeket fogalmaz meg azzal, hogy a vállalkozásoknak évente nyi</w:t>
      </w:r>
      <w:r w:rsidRPr="00593944">
        <w:rPr>
          <w:rFonts w:asciiTheme="minorHAnsi" w:hAnsiTheme="minorHAnsi"/>
          <w:sz w:val="24"/>
          <w:szCs w:val="24"/>
          <w:lang w:eastAsia="en-US"/>
        </w:rPr>
        <w:t>l</w:t>
      </w:r>
      <w:r w:rsidRPr="00593944">
        <w:rPr>
          <w:rFonts w:asciiTheme="minorHAnsi" w:hAnsiTheme="minorHAnsi"/>
          <w:sz w:val="24"/>
          <w:szCs w:val="24"/>
          <w:lang w:eastAsia="en-US"/>
        </w:rPr>
        <w:t>vánosságra kell hozniuk a pénzügyi eszközök minden osztályára vonatkozóan kereskedési vol</w:t>
      </w:r>
      <w:r w:rsidRPr="00593944">
        <w:rPr>
          <w:rFonts w:asciiTheme="minorHAnsi" w:hAnsiTheme="minorHAnsi"/>
          <w:sz w:val="24"/>
          <w:szCs w:val="24"/>
          <w:lang w:eastAsia="en-US"/>
        </w:rPr>
        <w:t>u</w:t>
      </w:r>
      <w:r w:rsidRPr="00593944">
        <w:rPr>
          <w:rFonts w:asciiTheme="minorHAnsi" w:hAnsiTheme="minorHAnsi"/>
          <w:sz w:val="24"/>
          <w:szCs w:val="24"/>
          <w:lang w:eastAsia="en-US"/>
        </w:rPr>
        <w:t>men szerint azt az öt legfontosabb végrehajtási helyszínt, ahol az előző évben az ügyfelek megb</w:t>
      </w:r>
      <w:r w:rsidRPr="00593944">
        <w:rPr>
          <w:rFonts w:asciiTheme="minorHAnsi" w:hAnsiTheme="minorHAnsi"/>
          <w:sz w:val="24"/>
          <w:szCs w:val="24"/>
          <w:lang w:eastAsia="en-US"/>
        </w:rPr>
        <w:t>í</w:t>
      </w:r>
      <w:r w:rsidRPr="00593944">
        <w:rPr>
          <w:rFonts w:asciiTheme="minorHAnsi" w:hAnsiTheme="minorHAnsi"/>
          <w:sz w:val="24"/>
          <w:szCs w:val="24"/>
          <w:lang w:eastAsia="en-US"/>
        </w:rPr>
        <w:t>zásait végrehajtották, másrészt szigorítja a már meglévő szabályokat. Ennek keretében a befekt</w:t>
      </w:r>
      <w:r w:rsidRPr="00593944">
        <w:rPr>
          <w:rFonts w:asciiTheme="minorHAnsi" w:hAnsiTheme="minorHAnsi"/>
          <w:sz w:val="24"/>
          <w:szCs w:val="24"/>
          <w:lang w:eastAsia="en-US"/>
        </w:rPr>
        <w:t>e</w:t>
      </w:r>
      <w:r w:rsidRPr="00593944">
        <w:rPr>
          <w:rFonts w:asciiTheme="minorHAnsi" w:hAnsiTheme="minorHAnsi"/>
          <w:sz w:val="24"/>
          <w:szCs w:val="24"/>
          <w:lang w:eastAsia="en-US"/>
        </w:rPr>
        <w:t xml:space="preserve">tési vállalkozásoknak már nem csupán minden ésszerű </w:t>
      </w:r>
      <w:r w:rsidRPr="00593944">
        <w:rPr>
          <w:rFonts w:asciiTheme="minorHAnsi" w:hAnsiTheme="minorHAnsi"/>
          <w:i/>
          <w:sz w:val="24"/>
          <w:szCs w:val="24"/>
          <w:lang w:eastAsia="en-US"/>
        </w:rPr>
        <w:t>(reasonable)</w:t>
      </w:r>
      <w:r w:rsidRPr="00593944">
        <w:rPr>
          <w:rFonts w:asciiTheme="minorHAnsi" w:hAnsiTheme="minorHAnsi"/>
          <w:sz w:val="24"/>
          <w:szCs w:val="24"/>
          <w:lang w:eastAsia="en-US"/>
        </w:rPr>
        <w:t xml:space="preserve">, hanem minden elégséges </w:t>
      </w:r>
      <w:r w:rsidRPr="002A7305">
        <w:rPr>
          <w:rFonts w:asciiTheme="minorHAnsi" w:hAnsiTheme="minorHAnsi"/>
          <w:i/>
          <w:sz w:val="24"/>
          <w:szCs w:val="24"/>
          <w:lang w:eastAsia="en-US"/>
        </w:rPr>
        <w:t>(sufficient)</w:t>
      </w:r>
      <w:r w:rsidRPr="00593944">
        <w:rPr>
          <w:rFonts w:asciiTheme="minorHAnsi" w:hAnsiTheme="minorHAnsi"/>
          <w:sz w:val="24"/>
          <w:szCs w:val="24"/>
          <w:lang w:eastAsia="en-US"/>
        </w:rPr>
        <w:t xml:space="preserve"> lépést meg kell </w:t>
      </w:r>
      <w:r w:rsidR="00452EA9" w:rsidRPr="00593944">
        <w:rPr>
          <w:rFonts w:asciiTheme="minorHAnsi" w:hAnsiTheme="minorHAnsi"/>
          <w:sz w:val="24"/>
          <w:szCs w:val="24"/>
          <w:lang w:eastAsia="en-US"/>
        </w:rPr>
        <w:t>tenni</w:t>
      </w:r>
      <w:r w:rsidR="00452EA9">
        <w:rPr>
          <w:rFonts w:asciiTheme="minorHAnsi" w:hAnsiTheme="minorHAnsi"/>
          <w:sz w:val="24"/>
          <w:szCs w:val="24"/>
          <w:lang w:eastAsia="en-US"/>
        </w:rPr>
        <w:t>ük</w:t>
      </w:r>
      <w:r w:rsidR="00452EA9" w:rsidRPr="00593944">
        <w:rPr>
          <w:rFonts w:asciiTheme="minorHAnsi" w:hAnsiTheme="minorHAnsi"/>
          <w:sz w:val="24"/>
          <w:szCs w:val="24"/>
          <w:lang w:eastAsia="en-US"/>
        </w:rPr>
        <w:t xml:space="preserve"> </w:t>
      </w:r>
      <w:r w:rsidRPr="00593944">
        <w:rPr>
          <w:rFonts w:asciiTheme="minorHAnsi" w:hAnsiTheme="minorHAnsi"/>
          <w:sz w:val="24"/>
          <w:szCs w:val="24"/>
          <w:lang w:eastAsia="en-US"/>
        </w:rPr>
        <w:t>a megbízások végrehajtása során azért, hogy ügyfeleik szám</w:t>
      </w:r>
      <w:r w:rsidRPr="00593944">
        <w:rPr>
          <w:rFonts w:asciiTheme="minorHAnsi" w:hAnsiTheme="minorHAnsi"/>
          <w:sz w:val="24"/>
          <w:szCs w:val="24"/>
          <w:lang w:eastAsia="en-US"/>
        </w:rPr>
        <w:t>á</w:t>
      </w:r>
      <w:r w:rsidRPr="00593944">
        <w:rPr>
          <w:rFonts w:asciiTheme="minorHAnsi" w:hAnsiTheme="minorHAnsi"/>
          <w:sz w:val="24"/>
          <w:szCs w:val="24"/>
          <w:lang w:eastAsia="en-US"/>
        </w:rPr>
        <w:t>ra a lehető legjobb eredményt érjék el, valamint a végrehajtási politikájukról az ügyfelek részére úgy szükséges tájékoztatást nyújtaniuk, hogy az kellően részletezett és könnyen érthető legyen. Másfelől, a vállalkozásoknak értesíteniük kell azon ügyfeleiket a megbízások végrehajtására v</w:t>
      </w:r>
      <w:r w:rsidRPr="00593944">
        <w:rPr>
          <w:rFonts w:asciiTheme="minorHAnsi" w:hAnsiTheme="minorHAnsi"/>
          <w:sz w:val="24"/>
          <w:szCs w:val="24"/>
          <w:lang w:eastAsia="en-US"/>
        </w:rPr>
        <w:t>o</w:t>
      </w:r>
      <w:r w:rsidRPr="00593944">
        <w:rPr>
          <w:rFonts w:asciiTheme="minorHAnsi" w:hAnsiTheme="minorHAnsi"/>
          <w:sz w:val="24"/>
          <w:szCs w:val="24"/>
          <w:lang w:eastAsia="en-US"/>
        </w:rPr>
        <w:t>natkozó szabályaik lényeges változásáról, aki</w:t>
      </w:r>
      <w:r w:rsidR="002A7305">
        <w:rPr>
          <w:rFonts w:asciiTheme="minorHAnsi" w:hAnsiTheme="minorHAnsi"/>
          <w:sz w:val="24"/>
          <w:szCs w:val="24"/>
          <w:lang w:eastAsia="en-US"/>
        </w:rPr>
        <w:t xml:space="preserve">kkel az adott időpontban ügyfél </w:t>
      </w:r>
      <w:r w:rsidRPr="00593944">
        <w:rPr>
          <w:rFonts w:asciiTheme="minorHAnsi" w:hAnsiTheme="minorHAnsi"/>
          <w:sz w:val="24"/>
          <w:szCs w:val="24"/>
          <w:lang w:eastAsia="en-US"/>
        </w:rPr>
        <w:t>kapcsolatban állnak, valamint a jövőben már nem csak ügyfeleik, hanem az illetékes hatóság, így hazánkban a Magyar Nemzeti Bank kérésére is igazolniuk kell, hogy megbízásaikat a vállalkozás megbízás-végrehajtási szabályzatával összhangban hajtották végre. Ezen kívül, a legjobb végrehajtás elve kiegészül n</w:t>
      </w:r>
      <w:r w:rsidRPr="00593944">
        <w:rPr>
          <w:rFonts w:asciiTheme="minorHAnsi" w:hAnsiTheme="minorHAnsi"/>
          <w:sz w:val="24"/>
          <w:szCs w:val="24"/>
          <w:lang w:eastAsia="en-US"/>
        </w:rPr>
        <w:t>é</w:t>
      </w:r>
      <w:r w:rsidRPr="00593944">
        <w:rPr>
          <w:rFonts w:asciiTheme="minorHAnsi" w:hAnsiTheme="minorHAnsi"/>
          <w:sz w:val="24"/>
          <w:szCs w:val="24"/>
          <w:lang w:eastAsia="en-US"/>
        </w:rPr>
        <w:t>hány további követelménnyel, így a lakossági befektetők tekintetében javítják a legjobb végreha</w:t>
      </w:r>
      <w:r w:rsidRPr="00593944">
        <w:rPr>
          <w:rFonts w:asciiTheme="minorHAnsi" w:hAnsiTheme="minorHAnsi"/>
          <w:sz w:val="24"/>
          <w:szCs w:val="24"/>
          <w:lang w:eastAsia="en-US"/>
        </w:rPr>
        <w:t>j</w:t>
      </w:r>
      <w:r w:rsidRPr="00593944">
        <w:rPr>
          <w:rFonts w:asciiTheme="minorHAnsi" w:hAnsiTheme="minorHAnsi"/>
          <w:sz w:val="24"/>
          <w:szCs w:val="24"/>
          <w:lang w:eastAsia="en-US"/>
        </w:rPr>
        <w:t xml:space="preserve">tás kereteit. A befektetési vállalkozás ennek következtében például nem fogadhat el semmilyen ösztönzőt az ügyfelek megbízásainak egy meghatározott kereskedési helyszínre vagy végrehajtási helyre történő irányításáért. </w:t>
      </w:r>
    </w:p>
    <w:p w:rsid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Összességében a jelentéstételi kötelezettségek, így az öt legfontosabb végrehajtási helyszín nyi</w:t>
      </w:r>
      <w:r w:rsidRPr="00593944">
        <w:rPr>
          <w:rFonts w:asciiTheme="minorHAnsi" w:hAnsiTheme="minorHAnsi"/>
          <w:sz w:val="24"/>
          <w:szCs w:val="24"/>
          <w:lang w:eastAsia="en-US"/>
        </w:rPr>
        <w:t>l</w:t>
      </w:r>
      <w:r w:rsidRPr="00593944">
        <w:rPr>
          <w:rFonts w:asciiTheme="minorHAnsi" w:hAnsiTheme="minorHAnsi"/>
          <w:sz w:val="24"/>
          <w:szCs w:val="24"/>
          <w:lang w:eastAsia="en-US"/>
        </w:rPr>
        <w:t>vánosságra hozatala, az ügyfelek felé történő részletesebb jelentések, valamint a kereskedési helyszínek részéről a végrehajtások minőségével kapcsolatos adatok közzététele a kereskedési helyszínek és befektetési vállalkozások számára megnövekedett költségeket eredményezhet a legjobb végrehajtás elérésében, illetve az azzal kapcsolatos jelentésekben.</w:t>
      </w:r>
    </w:p>
    <w:p w:rsidR="002A7305" w:rsidRPr="00593944" w:rsidRDefault="002A7305" w:rsidP="00593944">
      <w:pPr>
        <w:tabs>
          <w:tab w:val="left" w:pos="426"/>
        </w:tabs>
        <w:spacing w:after="120"/>
        <w:rPr>
          <w:rFonts w:asciiTheme="minorHAnsi" w:hAnsiTheme="minorHAnsi"/>
          <w:sz w:val="24"/>
          <w:szCs w:val="24"/>
          <w:lang w:eastAsia="en-US"/>
        </w:rPr>
      </w:pP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lastRenderedPageBreak/>
        <w:t>3</w:t>
      </w:r>
      <w:r w:rsidR="00593944" w:rsidRPr="00593944">
        <w:rPr>
          <w:rFonts w:asciiTheme="minorHAnsi" w:hAnsiTheme="minorHAnsi"/>
          <w:b/>
          <w:sz w:val="24"/>
          <w:szCs w:val="24"/>
          <w:lang w:eastAsia="en-US"/>
        </w:rPr>
        <w:t>.4.</w:t>
      </w:r>
      <w:r w:rsidR="00593944" w:rsidRPr="00593944">
        <w:rPr>
          <w:rFonts w:asciiTheme="minorHAnsi" w:hAnsiTheme="minorHAnsi"/>
          <w:b/>
          <w:sz w:val="24"/>
          <w:szCs w:val="24"/>
          <w:lang w:eastAsia="en-US"/>
        </w:rPr>
        <w:tab/>
        <w:t>Befektetési tanácsadás</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 xml:space="preserve">A MiFID I és MiFID II befektetési tanácsadásra vonatkozó definíciója nem tér el egymástól, így ez továbbra is </w:t>
      </w:r>
      <w:r w:rsidRPr="00593944">
        <w:rPr>
          <w:rFonts w:asciiTheme="minorHAnsi" w:hAnsiTheme="minorHAnsi"/>
          <w:i/>
          <w:sz w:val="24"/>
          <w:szCs w:val="24"/>
          <w:lang w:eastAsia="en-US"/>
        </w:rPr>
        <w:t>„egy vagy több ügylet tekintetében pénzügyi eszközökhöz kapcsolódó, személyre szóló ajánlások nyújtása valamely ügyfélnek akár az ügyfél kérésére, akár a befektetési vállalkozás ke</w:t>
      </w:r>
      <w:r w:rsidRPr="00593944">
        <w:rPr>
          <w:rFonts w:asciiTheme="minorHAnsi" w:hAnsiTheme="minorHAnsi"/>
          <w:i/>
          <w:sz w:val="24"/>
          <w:szCs w:val="24"/>
          <w:lang w:eastAsia="en-US"/>
        </w:rPr>
        <w:t>z</w:t>
      </w:r>
      <w:r w:rsidRPr="00593944">
        <w:rPr>
          <w:rFonts w:asciiTheme="minorHAnsi" w:hAnsiTheme="minorHAnsi"/>
          <w:i/>
          <w:sz w:val="24"/>
          <w:szCs w:val="24"/>
          <w:lang w:eastAsia="en-US"/>
        </w:rPr>
        <w:t>deményezésére”</w:t>
      </w:r>
      <w:r w:rsidRPr="00593944">
        <w:rPr>
          <w:rFonts w:asciiTheme="minorHAnsi" w:hAnsiTheme="minorHAnsi"/>
          <w:sz w:val="24"/>
          <w:szCs w:val="24"/>
          <w:lang w:eastAsia="en-US"/>
        </w:rPr>
        <w:t xml:space="preserve">.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fő változás, hogy míg a MiFID I nem tett különbséget a tanácsadás különböző típusai között, addig a MiFID II bevezeti a független tanácsadás koncepcióját. Ezt alapul véve a rendelkezések meghatározzák, hogy befektetési tanács nyújtásakor a befektetési vállalkozás tájékoztatja az üg</w:t>
      </w:r>
      <w:r w:rsidRPr="00593944">
        <w:rPr>
          <w:rFonts w:asciiTheme="minorHAnsi" w:hAnsiTheme="minorHAnsi"/>
          <w:sz w:val="24"/>
          <w:szCs w:val="24"/>
          <w:lang w:eastAsia="en-US"/>
        </w:rPr>
        <w:t>y</w:t>
      </w:r>
      <w:r w:rsidRPr="00593944">
        <w:rPr>
          <w:rFonts w:asciiTheme="minorHAnsi" w:hAnsiTheme="minorHAnsi"/>
          <w:sz w:val="24"/>
          <w:szCs w:val="24"/>
          <w:lang w:eastAsia="en-US"/>
        </w:rPr>
        <w:t>felet arról, hogy a tanácsot független alapon adja-e. Amennyiben igen, köteles a piacon elérhető pénzügyi eszközök széles körét értékelni, mind az eszközök típusa, kibocsátója és a termékek nyújtója vonatkozásában, emellett pedig nem fogadhat el harmadik féltől az ügyfeleknek nyújtott szolgáltatással kapcsolatban semmilyen díjat, jutalékot, juttatást. Ez alól csak azok a kisebb nem pénzbeli juttatások kivételek, amelyek javíthatják az ügyfélnek nyújtott szolgáltatás színvonalát és nem veszélyeztetik azt, hogy a befektetési vállalkozás az ügyfél érdekének leginkább megfelelő módon járjon el. Ennek következtében a vállalkozásoknak részletes értékelést szükséges végezn</w:t>
      </w:r>
      <w:r w:rsidRPr="00593944">
        <w:rPr>
          <w:rFonts w:asciiTheme="minorHAnsi" w:hAnsiTheme="minorHAnsi"/>
          <w:sz w:val="24"/>
          <w:szCs w:val="24"/>
          <w:lang w:eastAsia="en-US"/>
        </w:rPr>
        <w:t>i</w:t>
      </w:r>
      <w:r w:rsidRPr="00593944">
        <w:rPr>
          <w:rFonts w:asciiTheme="minorHAnsi" w:hAnsiTheme="minorHAnsi"/>
          <w:sz w:val="24"/>
          <w:szCs w:val="24"/>
          <w:lang w:eastAsia="en-US"/>
        </w:rPr>
        <w:t>ük a javadalmazási és juttatási politikájuk vonatkozásában.</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.5.</w:t>
      </w:r>
      <w:r w:rsidR="00593944" w:rsidRPr="00593944">
        <w:rPr>
          <w:rFonts w:asciiTheme="minorHAnsi" w:hAnsiTheme="minorHAnsi"/>
          <w:b/>
          <w:sz w:val="24"/>
          <w:szCs w:val="24"/>
          <w:lang w:eastAsia="en-US"/>
        </w:rPr>
        <w:tab/>
        <w:t>Megfelelőség</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 xml:space="preserve">Az alkalmasság </w:t>
      </w:r>
      <w:r w:rsidR="00973149">
        <w:rPr>
          <w:rFonts w:asciiTheme="minorHAnsi" w:hAnsiTheme="minorHAnsi"/>
          <w:sz w:val="24"/>
          <w:szCs w:val="24"/>
          <w:lang w:eastAsia="en-US"/>
        </w:rPr>
        <w:t xml:space="preserve">és megfelelőség </w:t>
      </w:r>
      <w:r w:rsidRPr="00593944">
        <w:rPr>
          <w:rFonts w:asciiTheme="minorHAnsi" w:hAnsiTheme="minorHAnsi"/>
          <w:sz w:val="24"/>
          <w:szCs w:val="24"/>
          <w:lang w:eastAsia="en-US"/>
        </w:rPr>
        <w:t xml:space="preserve">értékelése a befektetővédelmi rendelkezések egyik legfontosabb elemének tekinthető.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 is megköveteli, hogy befektetési tanácsadás vagy portfóliókezelési szolgáltatás nyújt</w:t>
      </w:r>
      <w:r w:rsidRPr="00593944">
        <w:rPr>
          <w:rFonts w:asciiTheme="minorHAnsi" w:hAnsiTheme="minorHAnsi"/>
          <w:sz w:val="24"/>
          <w:szCs w:val="24"/>
          <w:lang w:eastAsia="en-US"/>
        </w:rPr>
        <w:t>á</w:t>
      </w:r>
      <w:r w:rsidRPr="00593944">
        <w:rPr>
          <w:rFonts w:asciiTheme="minorHAnsi" w:hAnsiTheme="minorHAnsi"/>
          <w:sz w:val="24"/>
          <w:szCs w:val="24"/>
          <w:lang w:eastAsia="en-US"/>
        </w:rPr>
        <w:t>sakor a befektetési vállalkozás mérje fel az ügyfél ismeretét, tapasztalatait, pénzügyi helyzetét és befektetési céljait annak érdekében, hogy az ügyfél számára alkalmas befektetési szolgáltatás</w:t>
      </w:r>
      <w:r w:rsidRPr="00593944">
        <w:rPr>
          <w:rFonts w:asciiTheme="minorHAnsi" w:hAnsiTheme="minorHAnsi"/>
          <w:sz w:val="24"/>
          <w:szCs w:val="24"/>
          <w:lang w:eastAsia="en-US"/>
        </w:rPr>
        <w:t>o</w:t>
      </w:r>
      <w:r w:rsidRPr="00593944">
        <w:rPr>
          <w:rFonts w:asciiTheme="minorHAnsi" w:hAnsiTheme="minorHAnsi"/>
          <w:sz w:val="24"/>
          <w:szCs w:val="24"/>
          <w:lang w:eastAsia="en-US"/>
        </w:rPr>
        <w:t>kat, illetve pénzügyi eszközöket ajánlhasson.</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 xml:space="preserve">A MiFID II számottevő változást nem vezet be, ugyanakkor a korábbi rendelkezéseket néhány ponton kibővíti. Egyfelől, a befektetési tanácsadás vagy portfóliókezelési szolgáltatás nyújtásakor a vállalkozásnak az ügyfél veszteségviselési és kockázattűrési képességéről is információkat kell szereznie, másrészt az ügylet megvalósítását megelőzően írásbeli megfelelőségi nyilatkozatot </w:t>
      </w:r>
      <w:r w:rsidRPr="002A7305">
        <w:rPr>
          <w:rFonts w:asciiTheme="minorHAnsi" w:hAnsiTheme="minorHAnsi"/>
          <w:i/>
          <w:sz w:val="24"/>
          <w:szCs w:val="24"/>
          <w:lang w:eastAsia="en-US"/>
        </w:rPr>
        <w:t>(suitability statement)</w:t>
      </w:r>
      <w:r w:rsidRPr="00593944">
        <w:rPr>
          <w:rFonts w:asciiTheme="minorHAnsi" w:hAnsiTheme="minorHAnsi"/>
          <w:sz w:val="24"/>
          <w:szCs w:val="24"/>
          <w:lang w:eastAsia="en-US"/>
        </w:rPr>
        <w:t xml:space="preserve"> kell adnia a terméknek az ügyfél számára való megfelelőségéről, illetve arról, hogy az általa nyújtott befektetési tanácsok hogyan igazodnak a lakossági ügyfele prefere</w:t>
      </w:r>
      <w:r w:rsidRPr="00593944">
        <w:rPr>
          <w:rFonts w:asciiTheme="minorHAnsi" w:hAnsiTheme="minorHAnsi"/>
          <w:sz w:val="24"/>
          <w:szCs w:val="24"/>
          <w:lang w:eastAsia="en-US"/>
        </w:rPr>
        <w:t>n</w:t>
      </w:r>
      <w:r w:rsidRPr="00593944">
        <w:rPr>
          <w:rFonts w:asciiTheme="minorHAnsi" w:hAnsiTheme="minorHAnsi"/>
          <w:sz w:val="24"/>
          <w:szCs w:val="24"/>
          <w:lang w:eastAsia="en-US"/>
        </w:rPr>
        <w:t xml:space="preserve">ciáihoz, sajátosságaihoz, céljaihoz. </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.6.</w:t>
      </w:r>
      <w:r w:rsidR="00593944" w:rsidRPr="00593944">
        <w:rPr>
          <w:rFonts w:asciiTheme="minorHAnsi" w:hAnsiTheme="minorHAnsi"/>
          <w:b/>
          <w:sz w:val="24"/>
          <w:szCs w:val="24"/>
          <w:lang w:eastAsia="en-US"/>
        </w:rPr>
        <w:tab/>
        <w:t>Alkalmasság, ügyfél megbízásainak végrehajtása (execution-only)</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 kötelezővé teszi a vállalkozások számára, hogy a befektetési tanácsadás és portfóliókezelési szolgáltatás nyújtásától eltérő befektetési szolgáltatások esetében informáci</w:t>
      </w:r>
      <w:r w:rsidRPr="00593944">
        <w:rPr>
          <w:rFonts w:asciiTheme="minorHAnsi" w:hAnsiTheme="minorHAnsi"/>
          <w:sz w:val="24"/>
          <w:szCs w:val="24"/>
          <w:lang w:eastAsia="en-US"/>
        </w:rPr>
        <w:t>ó</w:t>
      </w:r>
      <w:r w:rsidRPr="00593944">
        <w:rPr>
          <w:rFonts w:asciiTheme="minorHAnsi" w:hAnsiTheme="minorHAnsi"/>
          <w:sz w:val="24"/>
          <w:szCs w:val="24"/>
          <w:lang w:eastAsia="en-US"/>
        </w:rPr>
        <w:t>kat szerezzen az ügyfél ismereteiről az adott szolgáltatás vagy termék vonatkozásában. Ezáltal a vállalkozás felmérheti, hogy az érintett termék, illetve szolgáltatás megfelelő-e az ügyfél részére. Fontos azonban kiemelni, hogy a befektetési vállalkozások nyújthatnak kizárólag olyan befektet</w:t>
      </w:r>
      <w:r w:rsidRPr="00593944">
        <w:rPr>
          <w:rFonts w:asciiTheme="minorHAnsi" w:hAnsiTheme="minorHAnsi"/>
          <w:sz w:val="24"/>
          <w:szCs w:val="24"/>
          <w:lang w:eastAsia="en-US"/>
        </w:rPr>
        <w:t>é</w:t>
      </w:r>
      <w:r w:rsidRPr="00593944">
        <w:rPr>
          <w:rFonts w:asciiTheme="minorHAnsi" w:hAnsiTheme="minorHAnsi"/>
          <w:sz w:val="24"/>
          <w:szCs w:val="24"/>
          <w:lang w:eastAsia="en-US"/>
        </w:rPr>
        <w:t>si szolgáltatásokat is, amelyek csak az ügyfél megbízásainak végrehajtásából és/vagy átvételéből és továbbításából állnak. Ebben az esetben nincs szükség arra, hogy részletes információkat sz</w:t>
      </w:r>
      <w:r w:rsidRPr="00593944">
        <w:rPr>
          <w:rFonts w:asciiTheme="minorHAnsi" w:hAnsiTheme="minorHAnsi"/>
          <w:sz w:val="24"/>
          <w:szCs w:val="24"/>
          <w:lang w:eastAsia="en-US"/>
        </w:rPr>
        <w:t>e</w:t>
      </w:r>
      <w:r w:rsidRPr="00593944">
        <w:rPr>
          <w:rFonts w:asciiTheme="minorHAnsi" w:hAnsiTheme="minorHAnsi"/>
          <w:sz w:val="24"/>
          <w:szCs w:val="24"/>
          <w:lang w:eastAsia="en-US"/>
        </w:rPr>
        <w:lastRenderedPageBreak/>
        <w:t xml:space="preserve">rezzenek az ügyfél tudásáról és tapasztalatairól, feltéve, hogy a szolgáltatások szabályozott piacra vagy MTF-re </w:t>
      </w:r>
      <w:r w:rsidR="00D433CF">
        <w:rPr>
          <w:rFonts w:asciiTheme="minorHAnsi" w:hAnsiTheme="minorHAnsi"/>
          <w:sz w:val="24"/>
          <w:szCs w:val="24"/>
          <w:lang w:eastAsia="en-US"/>
        </w:rPr>
        <w:t>bevezetett részvényekhez, kötvé</w:t>
      </w:r>
      <w:r w:rsidRPr="00593944">
        <w:rPr>
          <w:rFonts w:asciiTheme="minorHAnsi" w:hAnsiTheme="minorHAnsi"/>
          <w:sz w:val="24"/>
          <w:szCs w:val="24"/>
          <w:lang w:eastAsia="en-US"/>
        </w:rPr>
        <w:t>nyekhez, pénzpiaci eszközökhöz, ÁÉKBV-k részv</w:t>
      </w:r>
      <w:r w:rsidRPr="00593944">
        <w:rPr>
          <w:rFonts w:asciiTheme="minorHAnsi" w:hAnsiTheme="minorHAnsi"/>
          <w:sz w:val="24"/>
          <w:szCs w:val="24"/>
          <w:lang w:eastAsia="en-US"/>
        </w:rPr>
        <w:t>é</w:t>
      </w:r>
      <w:r w:rsidRPr="00593944">
        <w:rPr>
          <w:rFonts w:asciiTheme="minorHAnsi" w:hAnsiTheme="minorHAnsi"/>
          <w:sz w:val="24"/>
          <w:szCs w:val="24"/>
          <w:lang w:eastAsia="en-US"/>
        </w:rPr>
        <w:t xml:space="preserve">nyeihez vagy befektetési jegyeihez, strukturált betétekhez, illetve egyéb nem összetett pénzügyi eszközökhöz kapcsolódnak.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 módosítja a pénzügyi eszközök azon listáját, melyek esetében nincs szükség az ügyfél ismereteinek és annak felmérésére, hogy a befektetési szolgáltatás vagy az ajánlott termék me</w:t>
      </w:r>
      <w:r w:rsidRPr="00593944">
        <w:rPr>
          <w:rFonts w:asciiTheme="minorHAnsi" w:hAnsiTheme="minorHAnsi"/>
          <w:sz w:val="24"/>
          <w:szCs w:val="24"/>
          <w:lang w:eastAsia="en-US"/>
        </w:rPr>
        <w:t>g</w:t>
      </w:r>
      <w:r w:rsidRPr="00593944">
        <w:rPr>
          <w:rFonts w:asciiTheme="minorHAnsi" w:hAnsiTheme="minorHAnsi"/>
          <w:sz w:val="24"/>
          <w:szCs w:val="24"/>
          <w:lang w:eastAsia="en-US"/>
        </w:rPr>
        <w:t xml:space="preserve">felelő-e az ügyfél számára. Ezáltal az ügyfél megbízásának végrehajtására vonatkozó tevékenység hatályát szűkíti. Ezen kívül, a MiFID II egyértelműen kijelenti, hogy a hitel- vagy kölcsönnyújtás esetében mindenképpen szükség van a megfelelő vizsgálatok </w:t>
      </w:r>
      <w:proofErr w:type="gramStart"/>
      <w:r w:rsidRPr="00593944">
        <w:rPr>
          <w:rFonts w:asciiTheme="minorHAnsi" w:hAnsiTheme="minorHAnsi"/>
          <w:sz w:val="24"/>
          <w:szCs w:val="24"/>
          <w:lang w:eastAsia="en-US"/>
        </w:rPr>
        <w:t>elvégzésére</w:t>
      </w:r>
      <w:r w:rsidRPr="00593944">
        <w:rPr>
          <w:rFonts w:asciiTheme="minorHAnsi" w:hAnsiTheme="minorHAnsi" w:cs="Times New Roman"/>
          <w:sz w:val="24"/>
          <w:szCs w:val="24"/>
          <w:vertAlign w:val="superscript"/>
          <w:lang w:eastAsia="en-US"/>
        </w:rPr>
        <w:footnoteReference w:id="3"/>
      </w:r>
      <w:r w:rsidRPr="00593944">
        <w:rPr>
          <w:rFonts w:asciiTheme="minorHAnsi" w:hAnsiTheme="minorHAnsi"/>
          <w:sz w:val="24"/>
          <w:szCs w:val="24"/>
          <w:lang w:eastAsia="en-US"/>
        </w:rPr>
        <w:t>.</w:t>
      </w:r>
      <w:proofErr w:type="gramEnd"/>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.7.</w:t>
      </w:r>
      <w:r w:rsidR="00593944" w:rsidRPr="00593944">
        <w:rPr>
          <w:rFonts w:asciiTheme="minorHAnsi" w:hAnsiTheme="minorHAnsi"/>
          <w:b/>
          <w:sz w:val="24"/>
          <w:szCs w:val="24"/>
          <w:lang w:eastAsia="en-US"/>
        </w:rPr>
        <w:tab/>
        <w:t>Ügyfelek megbízásainak kezelésére vonatkozó szabályok (client order handling)</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Az ügyfelek megbízásainak kezelésére vonatkozó szabályokat már a MiFID I is tartalmazta, me</w:t>
      </w:r>
      <w:r w:rsidRPr="00593944">
        <w:rPr>
          <w:rFonts w:asciiTheme="minorHAnsi" w:hAnsiTheme="minorHAnsi"/>
          <w:sz w:val="24"/>
          <w:szCs w:val="24"/>
          <w:lang w:eastAsia="en-US"/>
        </w:rPr>
        <w:t>g</w:t>
      </w:r>
      <w:r w:rsidRPr="00593944">
        <w:rPr>
          <w:rFonts w:asciiTheme="minorHAnsi" w:hAnsiTheme="minorHAnsi"/>
          <w:sz w:val="24"/>
          <w:szCs w:val="24"/>
          <w:lang w:eastAsia="en-US"/>
        </w:rPr>
        <w:t>határozva, hogy az ügyfelek megbízásainak teljesítésére engedéllyel rendelkező befektetési vá</w:t>
      </w:r>
      <w:r w:rsidRPr="00593944">
        <w:rPr>
          <w:rFonts w:asciiTheme="minorHAnsi" w:hAnsiTheme="minorHAnsi"/>
          <w:sz w:val="24"/>
          <w:szCs w:val="24"/>
          <w:lang w:eastAsia="en-US"/>
        </w:rPr>
        <w:t>l</w:t>
      </w:r>
      <w:r w:rsidRPr="00593944">
        <w:rPr>
          <w:rFonts w:asciiTheme="minorHAnsi" w:hAnsiTheme="minorHAnsi"/>
          <w:sz w:val="24"/>
          <w:szCs w:val="24"/>
          <w:lang w:eastAsia="en-US"/>
        </w:rPr>
        <w:t>lalkozásoknak olyan eljárásokkal és szabályokkal kell rendelkezniük, amelyek biztosítják az ügyf</w:t>
      </w:r>
      <w:r w:rsidRPr="00593944">
        <w:rPr>
          <w:rFonts w:asciiTheme="minorHAnsi" w:hAnsiTheme="minorHAnsi"/>
          <w:sz w:val="24"/>
          <w:szCs w:val="24"/>
          <w:lang w:eastAsia="en-US"/>
        </w:rPr>
        <w:t>e</w:t>
      </w:r>
      <w:r w:rsidRPr="00593944">
        <w:rPr>
          <w:rFonts w:asciiTheme="minorHAnsi" w:hAnsiTheme="minorHAnsi"/>
          <w:sz w:val="24"/>
          <w:szCs w:val="24"/>
          <w:lang w:eastAsia="en-US"/>
        </w:rPr>
        <w:t>lek megbízásainak azonnali, tisztességes és gyors teljesítését más ügyfelek megbízásaihoz vagy a befektetési vállalkozás kereskedési érdekeihez viszonyítottan. A MiFID II is ugyanerről rendelk</w:t>
      </w:r>
      <w:r w:rsidRPr="00593944">
        <w:rPr>
          <w:rFonts w:asciiTheme="minorHAnsi" w:hAnsiTheme="minorHAnsi"/>
          <w:sz w:val="24"/>
          <w:szCs w:val="24"/>
          <w:lang w:eastAsia="en-US"/>
        </w:rPr>
        <w:t>e</w:t>
      </w:r>
      <w:r w:rsidRPr="00593944">
        <w:rPr>
          <w:rFonts w:asciiTheme="minorHAnsi" w:hAnsiTheme="minorHAnsi"/>
          <w:sz w:val="24"/>
          <w:szCs w:val="24"/>
          <w:lang w:eastAsia="en-US"/>
        </w:rPr>
        <w:t>zik, azzal, hogy a nem azonnal végrehajtott, a szabályozott piacra bevezetett vagy kereskedési helyszínen kereskedett részvényekre vonatkozó limitáras ügyfélmegbízások esetén a befektetési vállalkozások hozzanak intézkedéseket az ilyen megbízás lehető legkorábbi végrehajtására azáltal, hogy a limitáras ügyfélmegbízást a többi piaci résztvevő számára azonnal közzéteszik (hacsak az ügyfél kifejezetten másképpen nem utasítja őket). Az újdonságot a szabályozott piac mellett me</w:t>
      </w:r>
      <w:r w:rsidRPr="00593944">
        <w:rPr>
          <w:rFonts w:asciiTheme="minorHAnsi" w:hAnsiTheme="minorHAnsi"/>
          <w:sz w:val="24"/>
          <w:szCs w:val="24"/>
          <w:lang w:eastAsia="en-US"/>
        </w:rPr>
        <w:t>g</w:t>
      </w:r>
      <w:r w:rsidRPr="00593944">
        <w:rPr>
          <w:rFonts w:asciiTheme="minorHAnsi" w:hAnsiTheme="minorHAnsi"/>
          <w:sz w:val="24"/>
          <w:szCs w:val="24"/>
          <w:lang w:eastAsia="en-US"/>
        </w:rPr>
        <w:t xml:space="preserve">jelenő kereskedési helyszínen kereskedett szófordulat jelenti. </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.8.</w:t>
      </w:r>
      <w:r w:rsidR="00593944" w:rsidRPr="00593944">
        <w:rPr>
          <w:rFonts w:asciiTheme="minorHAnsi" w:hAnsiTheme="minorHAnsi"/>
          <w:b/>
          <w:sz w:val="24"/>
          <w:szCs w:val="24"/>
          <w:lang w:eastAsia="en-US"/>
        </w:rPr>
        <w:tab/>
        <w:t>Ügyfelek besorolása (client categorisation)</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 által bevezetett ügyfélminősítési kategóriák szerint az ügyfél a lakossági ügyfél, szakmai ügyfél vagy elfogadható partner kategóriába sorolható be és ezáltal meghatározható, hogy m</w:t>
      </w:r>
      <w:r w:rsidRPr="00593944">
        <w:rPr>
          <w:rFonts w:asciiTheme="minorHAnsi" w:hAnsiTheme="minorHAnsi"/>
          <w:sz w:val="24"/>
          <w:szCs w:val="24"/>
          <w:lang w:eastAsia="en-US"/>
        </w:rPr>
        <w:t>i</w:t>
      </w:r>
      <w:r w:rsidRPr="00593944">
        <w:rPr>
          <w:rFonts w:asciiTheme="minorHAnsi" w:hAnsiTheme="minorHAnsi"/>
          <w:sz w:val="24"/>
          <w:szCs w:val="24"/>
          <w:lang w:eastAsia="en-US"/>
        </w:rPr>
        <w:t xml:space="preserve">lyen mélységben kell az ügyletkötés előtt tájékoztatást nyújtani az ügyfél számára, illetve milyen információkat szükséges tőle bekérni. (Pl. </w:t>
      </w:r>
      <w:r w:rsidR="00504E21">
        <w:rPr>
          <w:rFonts w:asciiTheme="minorHAnsi" w:hAnsiTheme="minorHAnsi"/>
          <w:sz w:val="24"/>
          <w:szCs w:val="24"/>
          <w:lang w:eastAsia="en-US"/>
        </w:rPr>
        <w:t>a</w:t>
      </w:r>
      <w:r w:rsidR="00504E21" w:rsidRPr="00593944">
        <w:rPr>
          <w:rFonts w:asciiTheme="minorHAnsi" w:hAnsiTheme="minorHAnsi"/>
          <w:sz w:val="24"/>
          <w:szCs w:val="24"/>
          <w:lang w:eastAsia="en-US"/>
        </w:rPr>
        <w:t xml:space="preserve"> </w:t>
      </w:r>
      <w:r w:rsidRPr="00593944">
        <w:rPr>
          <w:rFonts w:asciiTheme="minorHAnsi" w:hAnsiTheme="minorHAnsi"/>
          <w:sz w:val="24"/>
          <w:szCs w:val="24"/>
          <w:lang w:eastAsia="en-US"/>
        </w:rPr>
        <w:t>lakossági és szakmai ügyfelek esetében bizonyos t</w:t>
      </w:r>
      <w:r w:rsidRPr="00593944">
        <w:rPr>
          <w:rFonts w:asciiTheme="minorHAnsi" w:hAnsiTheme="minorHAnsi"/>
          <w:sz w:val="24"/>
          <w:szCs w:val="24"/>
          <w:lang w:eastAsia="en-US"/>
        </w:rPr>
        <w:t>é</w:t>
      </w:r>
      <w:r w:rsidRPr="00593944">
        <w:rPr>
          <w:rFonts w:asciiTheme="minorHAnsi" w:hAnsiTheme="minorHAnsi"/>
          <w:sz w:val="24"/>
          <w:szCs w:val="24"/>
          <w:lang w:eastAsia="en-US"/>
        </w:rPr>
        <w:t>mákban részletesebb tájékoztatási kötelezettség szükséges, az ezzel kapcsolatos részletes előír</w:t>
      </w:r>
      <w:r w:rsidRPr="00593944">
        <w:rPr>
          <w:rFonts w:asciiTheme="minorHAnsi" w:hAnsiTheme="minorHAnsi"/>
          <w:sz w:val="24"/>
          <w:szCs w:val="24"/>
          <w:lang w:eastAsia="en-US"/>
        </w:rPr>
        <w:t>á</w:t>
      </w:r>
      <w:r w:rsidRPr="00593944">
        <w:rPr>
          <w:rFonts w:asciiTheme="minorHAnsi" w:hAnsiTheme="minorHAnsi"/>
          <w:sz w:val="24"/>
          <w:szCs w:val="24"/>
          <w:lang w:eastAsia="en-US"/>
        </w:rPr>
        <w:t>sokat azonban a másodszintű szabályok fogják tartalmazni.)</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 alapján szakmai ügyfél az az ügyfél, aki rendelkezik a saját befektetési döntései megh</w:t>
      </w:r>
      <w:r w:rsidRPr="00593944">
        <w:rPr>
          <w:rFonts w:asciiTheme="minorHAnsi" w:hAnsiTheme="minorHAnsi"/>
          <w:sz w:val="24"/>
          <w:szCs w:val="24"/>
          <w:lang w:eastAsia="en-US"/>
        </w:rPr>
        <w:t>o</w:t>
      </w:r>
      <w:r w:rsidRPr="00593944">
        <w:rPr>
          <w:rFonts w:asciiTheme="minorHAnsi" w:hAnsiTheme="minorHAnsi"/>
          <w:sz w:val="24"/>
          <w:szCs w:val="24"/>
          <w:lang w:eastAsia="en-US"/>
        </w:rPr>
        <w:t>zatalához és az ezzel járó kockázatok megfelelő felméréséhez szükséges tapasztalattal, ismer</w:t>
      </w:r>
      <w:r w:rsidRPr="00593944">
        <w:rPr>
          <w:rFonts w:asciiTheme="minorHAnsi" w:hAnsiTheme="minorHAnsi"/>
          <w:sz w:val="24"/>
          <w:szCs w:val="24"/>
          <w:lang w:eastAsia="en-US"/>
        </w:rPr>
        <w:t>e</w:t>
      </w:r>
      <w:r w:rsidRPr="00593944">
        <w:rPr>
          <w:rFonts w:asciiTheme="minorHAnsi" w:hAnsiTheme="minorHAnsi"/>
          <w:sz w:val="24"/>
          <w:szCs w:val="24"/>
          <w:lang w:eastAsia="en-US"/>
        </w:rPr>
        <w:t>tekkel és szakértelemmel. Szakmai ügyfelek azok a szervezetek, amelyeknek működését szab</w:t>
      </w:r>
      <w:r w:rsidRPr="00593944">
        <w:rPr>
          <w:rFonts w:asciiTheme="minorHAnsi" w:hAnsiTheme="minorHAnsi"/>
          <w:sz w:val="24"/>
          <w:szCs w:val="24"/>
          <w:lang w:eastAsia="en-US"/>
        </w:rPr>
        <w:t>á</w:t>
      </w:r>
      <w:r w:rsidRPr="00593944">
        <w:rPr>
          <w:rFonts w:asciiTheme="minorHAnsi" w:hAnsiTheme="minorHAnsi"/>
          <w:sz w:val="24"/>
          <w:szCs w:val="24"/>
          <w:lang w:eastAsia="en-US"/>
        </w:rPr>
        <w:t>lyozzák (például hitelintézetek, befektetési vállalkozások), a nagyvállalkozások, a nemzeti és reg</w:t>
      </w:r>
      <w:r w:rsidRPr="00593944">
        <w:rPr>
          <w:rFonts w:asciiTheme="minorHAnsi" w:hAnsiTheme="minorHAnsi"/>
          <w:sz w:val="24"/>
          <w:szCs w:val="24"/>
          <w:lang w:eastAsia="en-US"/>
        </w:rPr>
        <w:t>i</w:t>
      </w:r>
      <w:r w:rsidRPr="00593944">
        <w:rPr>
          <w:rFonts w:asciiTheme="minorHAnsi" w:hAnsiTheme="minorHAnsi"/>
          <w:sz w:val="24"/>
          <w:szCs w:val="24"/>
          <w:lang w:eastAsia="en-US"/>
        </w:rPr>
        <w:t>onális kormányzatok, az államadósságot kezelő állami szervezetek, központi bankok, nemzetközi és szupranacionális intézmények, valamint más intézményi befektetők, amelyek főtevékenysége a pénzügyi eszközökbe történő befektetés. Az elfogadható partnerek a szakmai minősítésű ügyf</w:t>
      </w:r>
      <w:r w:rsidRPr="00593944">
        <w:rPr>
          <w:rFonts w:asciiTheme="minorHAnsi" w:hAnsiTheme="minorHAnsi"/>
          <w:sz w:val="24"/>
          <w:szCs w:val="24"/>
          <w:lang w:eastAsia="en-US"/>
        </w:rPr>
        <w:t>e</w:t>
      </w:r>
      <w:r w:rsidRPr="00593944">
        <w:rPr>
          <w:rFonts w:asciiTheme="minorHAnsi" w:hAnsiTheme="minorHAnsi"/>
          <w:sz w:val="24"/>
          <w:szCs w:val="24"/>
          <w:lang w:eastAsia="en-US"/>
        </w:rPr>
        <w:t>lek egy szűkebb körét alkotják, részükre a tájékoztatás mélysége és mértéke a legkisebb. („Mi</w:t>
      </w:r>
      <w:r w:rsidRPr="00593944">
        <w:rPr>
          <w:rFonts w:asciiTheme="minorHAnsi" w:hAnsiTheme="minorHAnsi"/>
          <w:sz w:val="24"/>
          <w:szCs w:val="24"/>
          <w:lang w:eastAsia="en-US"/>
        </w:rPr>
        <w:t>n</w:t>
      </w:r>
      <w:r w:rsidRPr="00593944">
        <w:rPr>
          <w:rFonts w:asciiTheme="minorHAnsi" w:hAnsiTheme="minorHAnsi"/>
          <w:sz w:val="24"/>
          <w:szCs w:val="24"/>
          <w:lang w:eastAsia="en-US"/>
        </w:rPr>
        <w:lastRenderedPageBreak/>
        <w:t>den elfogadható partner szakmai befektető, de nem minden szakmai befektető elfogadható partner.”) A harmadik ügyfélkategóriába a lakossági befektetők tartoznak.</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Az ügyfelek besorolási kategóriái a MiFID II-ben nem változnak, fontos megjegyezni azonban, hogy az önkormányzatok és a helyi hatóságok kikerülnek az elfogadható partnerek és a szakma</w:t>
      </w:r>
      <w:r w:rsidRPr="00593944">
        <w:rPr>
          <w:rFonts w:asciiTheme="minorHAnsi" w:hAnsiTheme="minorHAnsi"/>
          <w:sz w:val="24"/>
          <w:szCs w:val="24"/>
          <w:lang w:eastAsia="en-US"/>
        </w:rPr>
        <w:t>i</w:t>
      </w:r>
      <w:r w:rsidRPr="00593944">
        <w:rPr>
          <w:rFonts w:asciiTheme="minorHAnsi" w:hAnsiTheme="minorHAnsi"/>
          <w:sz w:val="24"/>
          <w:szCs w:val="24"/>
          <w:lang w:eastAsia="en-US"/>
        </w:rPr>
        <w:t xml:space="preserve">nak tekintett ügyfelek jegyzékéből azzal, hogy saját kérésükre szakmai ügyfélként kezelhetők. Ennek indoka, hogy a pénzügyi válság és a helytelen értékesítések </w:t>
      </w:r>
      <w:r w:rsidRPr="002A7305">
        <w:rPr>
          <w:rFonts w:asciiTheme="minorHAnsi" w:hAnsiTheme="minorHAnsi"/>
          <w:i/>
          <w:sz w:val="24"/>
          <w:szCs w:val="24"/>
          <w:lang w:eastAsia="en-US"/>
        </w:rPr>
        <w:t>(misselling)</w:t>
      </w:r>
      <w:r w:rsidRPr="00593944">
        <w:rPr>
          <w:rFonts w:asciiTheme="minorHAnsi" w:hAnsiTheme="minorHAnsi"/>
          <w:sz w:val="24"/>
          <w:szCs w:val="24"/>
          <w:lang w:eastAsia="en-US"/>
        </w:rPr>
        <w:t xml:space="preserve"> következtében több esetben a helyi hatóságok számára túlságosan összetett termékeket értékesítettek.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Ezen kívül, az elfogadható partnerekkel végrehajtott ügyletekre vonatkozóan a MiFID II olyan új követelményeket fogalmaz meg, melyek a vállalkozások számára gyakorlatilag követendő alape</w:t>
      </w:r>
      <w:r w:rsidRPr="00593944">
        <w:rPr>
          <w:rFonts w:asciiTheme="minorHAnsi" w:hAnsiTheme="minorHAnsi"/>
          <w:sz w:val="24"/>
          <w:szCs w:val="24"/>
          <w:lang w:eastAsia="en-US"/>
        </w:rPr>
        <w:t>l</w:t>
      </w:r>
      <w:r w:rsidRPr="00593944">
        <w:rPr>
          <w:rFonts w:asciiTheme="minorHAnsi" w:hAnsiTheme="minorHAnsi"/>
          <w:sz w:val="24"/>
          <w:szCs w:val="24"/>
          <w:lang w:eastAsia="en-US"/>
        </w:rPr>
        <w:t>veknek tekinthetők, az elfogadható partnerek esetében azonban most kerülnek először konkr</w:t>
      </w:r>
      <w:r w:rsidRPr="00593944">
        <w:rPr>
          <w:rFonts w:asciiTheme="minorHAnsi" w:hAnsiTheme="minorHAnsi"/>
          <w:sz w:val="24"/>
          <w:szCs w:val="24"/>
          <w:lang w:eastAsia="en-US"/>
        </w:rPr>
        <w:t>é</w:t>
      </w:r>
      <w:r w:rsidRPr="00593944">
        <w:rPr>
          <w:rFonts w:asciiTheme="minorHAnsi" w:hAnsiTheme="minorHAnsi"/>
          <w:sz w:val="24"/>
          <w:szCs w:val="24"/>
          <w:lang w:eastAsia="en-US"/>
        </w:rPr>
        <w:t>tan kimondásra. Ez alapján, az elfogadható partnerek vonatkozásában a befektetési vállalkozások becsületesen, tisztességesen és hivatásszerűen járnak el, illetve velük tisztességes, világos és nem félrevezető módon kommunikálnak, figyelembe véve az elfogadható partner és a vele folytatott üzlet jellegét.</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.9.</w:t>
      </w:r>
      <w:r w:rsidR="00593944" w:rsidRPr="00593944">
        <w:rPr>
          <w:rFonts w:asciiTheme="minorHAnsi" w:hAnsiTheme="minorHAnsi"/>
          <w:b/>
          <w:sz w:val="24"/>
          <w:szCs w:val="24"/>
          <w:lang w:eastAsia="en-US"/>
        </w:rPr>
        <w:tab/>
        <w:t>Információk nyújtása az ügyfelek részére</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Az ügyfeleknek nyújtandó információk, jelentések köre vonatkozásában a MiFID I is részletes sz</w:t>
      </w:r>
      <w:r w:rsidRPr="00593944">
        <w:rPr>
          <w:rFonts w:asciiTheme="minorHAnsi" w:hAnsiTheme="minorHAnsi"/>
          <w:sz w:val="24"/>
          <w:szCs w:val="24"/>
          <w:lang w:eastAsia="en-US"/>
        </w:rPr>
        <w:t>a</w:t>
      </w:r>
      <w:r w:rsidRPr="00593944">
        <w:rPr>
          <w:rFonts w:asciiTheme="minorHAnsi" w:hAnsiTheme="minorHAnsi"/>
          <w:sz w:val="24"/>
          <w:szCs w:val="24"/>
          <w:lang w:eastAsia="en-US"/>
        </w:rPr>
        <w:t>bályrendszert tartalmaz, melyet a MiFID II is megtart, kiegészítve az időszakos jelentésekkel. Ez alapján a befektetési vállalkozásnak tartós adathordozón megfelelő beszámolókat kell nyújtania az ügyfélnek nyújtott szolgáltatásról, melyek kitérnek az ügyfeleknek nyújtott időszakos jelent</w:t>
      </w:r>
      <w:r w:rsidRPr="00593944">
        <w:rPr>
          <w:rFonts w:asciiTheme="minorHAnsi" w:hAnsiTheme="minorHAnsi"/>
          <w:sz w:val="24"/>
          <w:szCs w:val="24"/>
          <w:lang w:eastAsia="en-US"/>
        </w:rPr>
        <w:t>é</w:t>
      </w:r>
      <w:r w:rsidRPr="00593944">
        <w:rPr>
          <w:rFonts w:asciiTheme="minorHAnsi" w:hAnsiTheme="minorHAnsi"/>
          <w:sz w:val="24"/>
          <w:szCs w:val="24"/>
          <w:lang w:eastAsia="en-US"/>
        </w:rPr>
        <w:t xml:space="preserve">sekre, figyelembe véve az érintett pénzügyi eszköz típusát és </w:t>
      </w:r>
      <w:r w:rsidR="00F6351B">
        <w:rPr>
          <w:rFonts w:asciiTheme="minorHAnsi" w:hAnsiTheme="minorHAnsi"/>
          <w:sz w:val="24"/>
          <w:szCs w:val="24"/>
          <w:lang w:eastAsia="en-US"/>
        </w:rPr>
        <w:t>összetettségét</w:t>
      </w:r>
      <w:r w:rsidRPr="00593944">
        <w:rPr>
          <w:rFonts w:asciiTheme="minorHAnsi" w:hAnsiTheme="minorHAnsi"/>
          <w:sz w:val="24"/>
          <w:szCs w:val="24"/>
          <w:lang w:eastAsia="en-US"/>
        </w:rPr>
        <w:t>, valamint az ügyfé</w:t>
      </w:r>
      <w:r w:rsidRPr="00593944">
        <w:rPr>
          <w:rFonts w:asciiTheme="minorHAnsi" w:hAnsiTheme="minorHAnsi"/>
          <w:sz w:val="24"/>
          <w:szCs w:val="24"/>
          <w:lang w:eastAsia="en-US"/>
        </w:rPr>
        <w:t>l</w:t>
      </w:r>
      <w:r w:rsidRPr="00593944">
        <w:rPr>
          <w:rFonts w:asciiTheme="minorHAnsi" w:hAnsiTheme="minorHAnsi"/>
          <w:sz w:val="24"/>
          <w:szCs w:val="24"/>
          <w:lang w:eastAsia="en-US"/>
        </w:rPr>
        <w:t xml:space="preserve">nek nyújtott szolgáltatás jellegét, </w:t>
      </w:r>
      <w:r w:rsidR="00F6351B">
        <w:rPr>
          <w:rFonts w:asciiTheme="minorHAnsi" w:hAnsiTheme="minorHAnsi"/>
          <w:sz w:val="24"/>
          <w:szCs w:val="24"/>
          <w:lang w:eastAsia="en-US"/>
        </w:rPr>
        <w:t>és</w:t>
      </w:r>
      <w:r w:rsidRPr="00593944">
        <w:rPr>
          <w:rFonts w:asciiTheme="minorHAnsi" w:hAnsiTheme="minorHAnsi"/>
          <w:sz w:val="24"/>
          <w:szCs w:val="24"/>
          <w:lang w:eastAsia="en-US"/>
        </w:rPr>
        <w:t xml:space="preserve"> adott esetben tartalmazzák az ügyfél nevében végrehajtott ügyletekkel és szolgáltatásokkal kapcsolatos költségeket is.</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Ezen kívül, tekintettel arra, hogy a MiFID II új rendelkezéseket vezet be, az információs követe</w:t>
      </w:r>
      <w:r w:rsidRPr="00593944">
        <w:rPr>
          <w:rFonts w:asciiTheme="minorHAnsi" w:hAnsiTheme="minorHAnsi"/>
          <w:sz w:val="24"/>
          <w:szCs w:val="24"/>
          <w:lang w:eastAsia="en-US"/>
        </w:rPr>
        <w:t>l</w:t>
      </w:r>
      <w:r w:rsidRPr="00593944">
        <w:rPr>
          <w:rFonts w:asciiTheme="minorHAnsi" w:hAnsiTheme="minorHAnsi"/>
          <w:sz w:val="24"/>
          <w:szCs w:val="24"/>
          <w:lang w:eastAsia="en-US"/>
        </w:rPr>
        <w:t>mények is bővülnek. Befektetési tanácsadás esetén például a befektetési vállalkozás köteles táj</w:t>
      </w:r>
      <w:r w:rsidRPr="00593944">
        <w:rPr>
          <w:rFonts w:asciiTheme="minorHAnsi" w:hAnsiTheme="minorHAnsi"/>
          <w:sz w:val="24"/>
          <w:szCs w:val="24"/>
          <w:lang w:eastAsia="en-US"/>
        </w:rPr>
        <w:t>é</w:t>
      </w:r>
      <w:r w:rsidRPr="00593944">
        <w:rPr>
          <w:rFonts w:asciiTheme="minorHAnsi" w:hAnsiTheme="minorHAnsi"/>
          <w:sz w:val="24"/>
          <w:szCs w:val="24"/>
          <w:lang w:eastAsia="en-US"/>
        </w:rPr>
        <w:t>koztatni az ügyfelet arról, hogy a tanácsot független alapon adja-e és amennyiben igen, meghat</w:t>
      </w:r>
      <w:r w:rsidRPr="00593944">
        <w:rPr>
          <w:rFonts w:asciiTheme="minorHAnsi" w:hAnsiTheme="minorHAnsi"/>
          <w:sz w:val="24"/>
          <w:szCs w:val="24"/>
          <w:lang w:eastAsia="en-US"/>
        </w:rPr>
        <w:t>á</w:t>
      </w:r>
      <w:r w:rsidRPr="00593944">
        <w:rPr>
          <w:rFonts w:asciiTheme="minorHAnsi" w:hAnsiTheme="minorHAnsi"/>
          <w:sz w:val="24"/>
          <w:szCs w:val="24"/>
          <w:lang w:eastAsia="en-US"/>
        </w:rPr>
        <w:t xml:space="preserve">rozott követelményeknek szükséges megfelelnie. </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.10.</w:t>
      </w:r>
      <w:r w:rsidR="00593944" w:rsidRPr="00593944">
        <w:rPr>
          <w:rFonts w:asciiTheme="minorHAnsi" w:hAnsiTheme="minorHAnsi"/>
          <w:b/>
          <w:sz w:val="24"/>
          <w:szCs w:val="24"/>
          <w:lang w:eastAsia="en-US"/>
        </w:rPr>
        <w:tab/>
        <w:t>Nyilvántartások</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 xml:space="preserve">A MiFID I alapján a befektetési vállalkozásoknak számos nyilvántartást szükséges </w:t>
      </w:r>
      <w:r w:rsidR="002D5820" w:rsidRPr="00593944">
        <w:rPr>
          <w:rFonts w:asciiTheme="minorHAnsi" w:hAnsiTheme="minorHAnsi"/>
          <w:sz w:val="24"/>
          <w:szCs w:val="24"/>
          <w:lang w:eastAsia="en-US"/>
        </w:rPr>
        <w:t>vezetni</w:t>
      </w:r>
      <w:r w:rsidR="002D5820">
        <w:rPr>
          <w:rFonts w:asciiTheme="minorHAnsi" w:hAnsiTheme="minorHAnsi"/>
          <w:sz w:val="24"/>
          <w:szCs w:val="24"/>
          <w:lang w:eastAsia="en-US"/>
        </w:rPr>
        <w:t>ük</w:t>
      </w:r>
      <w:r w:rsidRPr="00593944">
        <w:rPr>
          <w:rFonts w:asciiTheme="minorHAnsi" w:hAnsiTheme="minorHAnsi"/>
          <w:sz w:val="24"/>
          <w:szCs w:val="24"/>
          <w:lang w:eastAsia="en-US"/>
        </w:rPr>
        <w:t xml:space="preserve">, így például az </w:t>
      </w:r>
      <w:r w:rsidR="002D5820" w:rsidRPr="00593944">
        <w:rPr>
          <w:rFonts w:asciiTheme="minorHAnsi" w:hAnsiTheme="minorHAnsi"/>
          <w:sz w:val="24"/>
          <w:szCs w:val="24"/>
          <w:lang w:eastAsia="en-US"/>
        </w:rPr>
        <w:t>által</w:t>
      </w:r>
      <w:r w:rsidR="002D5820">
        <w:rPr>
          <w:rFonts w:asciiTheme="minorHAnsi" w:hAnsiTheme="minorHAnsi"/>
          <w:sz w:val="24"/>
          <w:szCs w:val="24"/>
          <w:lang w:eastAsia="en-US"/>
        </w:rPr>
        <w:t>uk</w:t>
      </w:r>
      <w:r w:rsidR="002D5820" w:rsidRPr="00593944">
        <w:rPr>
          <w:rFonts w:asciiTheme="minorHAnsi" w:hAnsiTheme="minorHAnsi"/>
          <w:sz w:val="24"/>
          <w:szCs w:val="24"/>
          <w:lang w:eastAsia="en-US"/>
        </w:rPr>
        <w:t xml:space="preserve"> </w:t>
      </w:r>
      <w:r w:rsidRPr="00593944">
        <w:rPr>
          <w:rFonts w:asciiTheme="minorHAnsi" w:hAnsiTheme="minorHAnsi"/>
          <w:sz w:val="24"/>
          <w:szCs w:val="24"/>
          <w:lang w:eastAsia="en-US"/>
        </w:rPr>
        <w:t xml:space="preserve">nyújtott összes szolgáltatást és az </w:t>
      </w:r>
      <w:r w:rsidR="002D5820" w:rsidRPr="00593944">
        <w:rPr>
          <w:rFonts w:asciiTheme="minorHAnsi" w:hAnsiTheme="minorHAnsi"/>
          <w:sz w:val="24"/>
          <w:szCs w:val="24"/>
          <w:lang w:eastAsia="en-US"/>
        </w:rPr>
        <w:t>által</w:t>
      </w:r>
      <w:r w:rsidR="002D5820">
        <w:rPr>
          <w:rFonts w:asciiTheme="minorHAnsi" w:hAnsiTheme="minorHAnsi"/>
          <w:sz w:val="24"/>
          <w:szCs w:val="24"/>
          <w:lang w:eastAsia="en-US"/>
        </w:rPr>
        <w:t>uk</w:t>
      </w:r>
      <w:r w:rsidR="002D5820" w:rsidRPr="00593944">
        <w:rPr>
          <w:rFonts w:asciiTheme="minorHAnsi" w:hAnsiTheme="minorHAnsi"/>
          <w:sz w:val="24"/>
          <w:szCs w:val="24"/>
          <w:lang w:eastAsia="en-US"/>
        </w:rPr>
        <w:t xml:space="preserve"> </w:t>
      </w:r>
      <w:r w:rsidRPr="00593944">
        <w:rPr>
          <w:rFonts w:asciiTheme="minorHAnsi" w:hAnsiTheme="minorHAnsi"/>
          <w:sz w:val="24"/>
          <w:szCs w:val="24"/>
          <w:lang w:eastAsia="en-US"/>
        </w:rPr>
        <w:t xml:space="preserve">végzett összes ügyletet nyilván kell </w:t>
      </w:r>
      <w:r w:rsidR="002D5820" w:rsidRPr="00593944">
        <w:rPr>
          <w:rFonts w:asciiTheme="minorHAnsi" w:hAnsiTheme="minorHAnsi"/>
          <w:sz w:val="24"/>
          <w:szCs w:val="24"/>
          <w:lang w:eastAsia="en-US"/>
        </w:rPr>
        <w:t>tartani</w:t>
      </w:r>
      <w:r w:rsidR="002D5820">
        <w:rPr>
          <w:rFonts w:asciiTheme="minorHAnsi" w:hAnsiTheme="minorHAnsi"/>
          <w:sz w:val="24"/>
          <w:szCs w:val="24"/>
          <w:lang w:eastAsia="en-US"/>
        </w:rPr>
        <w:t>uk</w:t>
      </w:r>
      <w:r w:rsidRPr="00593944">
        <w:rPr>
          <w:rFonts w:asciiTheme="minorHAnsi" w:hAnsiTheme="minorHAnsi"/>
          <w:sz w:val="24"/>
          <w:szCs w:val="24"/>
          <w:lang w:eastAsia="en-US"/>
        </w:rPr>
        <w:t xml:space="preserve">, valamint létre kell </w:t>
      </w:r>
      <w:r w:rsidR="002D5820" w:rsidRPr="00593944">
        <w:rPr>
          <w:rFonts w:asciiTheme="minorHAnsi" w:hAnsiTheme="minorHAnsi"/>
          <w:sz w:val="24"/>
          <w:szCs w:val="24"/>
          <w:lang w:eastAsia="en-US"/>
        </w:rPr>
        <w:t>hozni</w:t>
      </w:r>
      <w:r w:rsidR="002D5820">
        <w:rPr>
          <w:rFonts w:asciiTheme="minorHAnsi" w:hAnsiTheme="minorHAnsi"/>
          <w:sz w:val="24"/>
          <w:szCs w:val="24"/>
          <w:lang w:eastAsia="en-US"/>
        </w:rPr>
        <w:t>uk</w:t>
      </w:r>
      <w:r w:rsidR="002D5820" w:rsidRPr="00593944">
        <w:rPr>
          <w:rFonts w:asciiTheme="minorHAnsi" w:hAnsiTheme="minorHAnsi"/>
          <w:sz w:val="24"/>
          <w:szCs w:val="24"/>
          <w:lang w:eastAsia="en-US"/>
        </w:rPr>
        <w:t xml:space="preserve"> </w:t>
      </w:r>
      <w:r w:rsidRPr="00593944">
        <w:rPr>
          <w:rFonts w:asciiTheme="minorHAnsi" w:hAnsiTheme="minorHAnsi"/>
          <w:sz w:val="24"/>
          <w:szCs w:val="24"/>
          <w:lang w:eastAsia="en-US"/>
        </w:rPr>
        <w:t xml:space="preserve">egy olyan nyilvántartást is, amely tartalmazza a vállalkozás, illetve ügyfele között létrejött dokumentumokat (amelyek meghatározzák például a felek jogait és kötelezettségeit). A befektetési vállalkozásoknak legalább öt éven át szükséges </w:t>
      </w:r>
      <w:r w:rsidR="002D5820" w:rsidRPr="00593944">
        <w:rPr>
          <w:rFonts w:asciiTheme="minorHAnsi" w:hAnsiTheme="minorHAnsi"/>
          <w:sz w:val="24"/>
          <w:szCs w:val="24"/>
          <w:lang w:eastAsia="en-US"/>
        </w:rPr>
        <w:t>megőrizni</w:t>
      </w:r>
      <w:r w:rsidR="002D5820">
        <w:rPr>
          <w:rFonts w:asciiTheme="minorHAnsi" w:hAnsiTheme="minorHAnsi"/>
          <w:sz w:val="24"/>
          <w:szCs w:val="24"/>
          <w:lang w:eastAsia="en-US"/>
        </w:rPr>
        <w:t>ük</w:t>
      </w:r>
      <w:r w:rsidR="002D5820" w:rsidRPr="00593944">
        <w:rPr>
          <w:rFonts w:asciiTheme="minorHAnsi" w:hAnsiTheme="minorHAnsi"/>
          <w:sz w:val="24"/>
          <w:szCs w:val="24"/>
          <w:lang w:eastAsia="en-US"/>
        </w:rPr>
        <w:t xml:space="preserve"> </w:t>
      </w:r>
      <w:r w:rsidRPr="00593944">
        <w:rPr>
          <w:rFonts w:asciiTheme="minorHAnsi" w:hAnsiTheme="minorHAnsi"/>
          <w:sz w:val="24"/>
          <w:szCs w:val="24"/>
          <w:lang w:eastAsia="en-US"/>
        </w:rPr>
        <w:t xml:space="preserve">az illetékes hatóság számára a pénzügyi eszközökkel folytatott valamennyi ügyletükre vonatkozó lényeges adatokat.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 lényeges változtatást nem vezet be, ugyanakkor kiemeli, hogy a befektetési vállalkozás az általa nyújtott összes szolgáltatás és tevékenység vonatkozásában olyan nyilvántartást köteles vezetni, mely elegendő ahhoz, hogy az illetékes hatóság ellássa felügyeleti feladatait. A hatósá</w:t>
      </w:r>
      <w:r w:rsidRPr="00593944">
        <w:rPr>
          <w:rFonts w:asciiTheme="minorHAnsi" w:hAnsiTheme="minorHAnsi"/>
          <w:sz w:val="24"/>
          <w:szCs w:val="24"/>
          <w:lang w:eastAsia="en-US"/>
        </w:rPr>
        <w:t>g</w:t>
      </w:r>
      <w:r w:rsidRPr="00593944">
        <w:rPr>
          <w:rFonts w:asciiTheme="minorHAnsi" w:hAnsiTheme="minorHAnsi"/>
          <w:sz w:val="24"/>
          <w:szCs w:val="24"/>
          <w:lang w:eastAsia="en-US"/>
        </w:rPr>
        <w:t xml:space="preserve">nak e nyilvántartás alapján tudnia kell megtenni a MiFID II, MiFIR, valamint a piaci visszaélésekről </w:t>
      </w:r>
      <w:r w:rsidRPr="00593944">
        <w:rPr>
          <w:rFonts w:asciiTheme="minorHAnsi" w:hAnsiTheme="minorHAnsi"/>
          <w:sz w:val="24"/>
          <w:szCs w:val="24"/>
          <w:lang w:eastAsia="en-US"/>
        </w:rPr>
        <w:lastRenderedPageBreak/>
        <w:t>szóló irányelv és rendelet (MAD, MAR) szerinti végrehajtási intézkedéseket, illetve meg kell tu</w:t>
      </w:r>
      <w:r w:rsidRPr="00593944">
        <w:rPr>
          <w:rFonts w:asciiTheme="minorHAnsi" w:hAnsiTheme="minorHAnsi"/>
          <w:sz w:val="24"/>
          <w:szCs w:val="24"/>
          <w:lang w:eastAsia="en-US"/>
        </w:rPr>
        <w:t>d</w:t>
      </w:r>
      <w:r w:rsidRPr="00593944">
        <w:rPr>
          <w:rFonts w:asciiTheme="minorHAnsi" w:hAnsiTheme="minorHAnsi"/>
          <w:sz w:val="24"/>
          <w:szCs w:val="24"/>
          <w:lang w:eastAsia="en-US"/>
        </w:rPr>
        <w:t>nia győződnie arról, hogy a befektetési vállalkozás eleget tett az ügyfelekkel szemben és a piac integritásának megőrzése kapcsán fennálló kötelezettségeinek.</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nyilvántartások közül külön kiemelendő a telefonbeszélgetésekkel és elektronikus kommunik</w:t>
      </w:r>
      <w:r w:rsidRPr="00593944">
        <w:rPr>
          <w:rFonts w:asciiTheme="minorHAnsi" w:hAnsiTheme="minorHAnsi"/>
          <w:sz w:val="24"/>
          <w:szCs w:val="24"/>
          <w:lang w:eastAsia="en-US"/>
        </w:rPr>
        <w:t>á</w:t>
      </w:r>
      <w:r w:rsidRPr="00593944">
        <w:rPr>
          <w:rFonts w:asciiTheme="minorHAnsi" w:hAnsiTheme="minorHAnsi"/>
          <w:sz w:val="24"/>
          <w:szCs w:val="24"/>
          <w:lang w:eastAsia="en-US"/>
        </w:rPr>
        <w:t>cióval kapcsolatos adatok tárolása. A MiFID I ezzel kapcsolatban nem határoz meg követelményt, így a tagállamok önállóan dönthettek az ezekkel kapcsolatos szabályok bevezetéséről. Ezen nyi</w:t>
      </w:r>
      <w:r w:rsidRPr="00593944">
        <w:rPr>
          <w:rFonts w:asciiTheme="minorHAnsi" w:hAnsiTheme="minorHAnsi"/>
          <w:sz w:val="24"/>
          <w:szCs w:val="24"/>
          <w:lang w:eastAsia="en-US"/>
        </w:rPr>
        <w:t>l</w:t>
      </w:r>
      <w:r w:rsidRPr="00593944">
        <w:rPr>
          <w:rFonts w:asciiTheme="minorHAnsi" w:hAnsiTheme="minorHAnsi"/>
          <w:sz w:val="24"/>
          <w:szCs w:val="24"/>
          <w:lang w:eastAsia="en-US"/>
        </w:rPr>
        <w:t xml:space="preserve">vántartások fontosságára már többen felhívták a figyelmet, így például az európai </w:t>
      </w:r>
      <w:proofErr w:type="gramStart"/>
      <w:r w:rsidRPr="00593944">
        <w:rPr>
          <w:rFonts w:asciiTheme="minorHAnsi" w:hAnsiTheme="minorHAnsi"/>
          <w:sz w:val="24"/>
          <w:szCs w:val="24"/>
          <w:lang w:eastAsia="en-US"/>
        </w:rPr>
        <w:t>értékpapír-piaci szabályozók</w:t>
      </w:r>
      <w:proofErr w:type="gramEnd"/>
      <w:r w:rsidRPr="00593944">
        <w:rPr>
          <w:rFonts w:asciiTheme="minorHAnsi" w:hAnsiTheme="minorHAnsi"/>
          <w:sz w:val="24"/>
          <w:szCs w:val="24"/>
          <w:lang w:eastAsia="en-US"/>
        </w:rPr>
        <w:t xml:space="preserve"> bizottsága által 2010. július 29-én kiadott technikai tanácsadás is említi.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 a befektetővédelem növelése érdekében a szervezeti követelmények keretén belül egységes rendszert vezet be az ügyfélmegbízásokat érintő telefonbeszélgetések, illetve elektron</w:t>
      </w:r>
      <w:r w:rsidRPr="00593944">
        <w:rPr>
          <w:rFonts w:asciiTheme="minorHAnsi" w:hAnsiTheme="minorHAnsi"/>
          <w:sz w:val="24"/>
          <w:szCs w:val="24"/>
          <w:lang w:eastAsia="en-US"/>
        </w:rPr>
        <w:t>i</w:t>
      </w:r>
      <w:r w:rsidRPr="00593944">
        <w:rPr>
          <w:rFonts w:asciiTheme="minorHAnsi" w:hAnsiTheme="minorHAnsi"/>
          <w:sz w:val="24"/>
          <w:szCs w:val="24"/>
          <w:lang w:eastAsia="en-US"/>
        </w:rPr>
        <w:t>kus kommunikáció rögzítésére. Ez azért is bír jelentőséggel, mert a telefonbeszélgetésekről k</w:t>
      </w:r>
      <w:r w:rsidRPr="00593944">
        <w:rPr>
          <w:rFonts w:asciiTheme="minorHAnsi" w:hAnsiTheme="minorHAnsi"/>
          <w:sz w:val="24"/>
          <w:szCs w:val="24"/>
          <w:lang w:eastAsia="en-US"/>
        </w:rPr>
        <w:t>é</w:t>
      </w:r>
      <w:r w:rsidRPr="00593944">
        <w:rPr>
          <w:rFonts w:asciiTheme="minorHAnsi" w:hAnsiTheme="minorHAnsi"/>
          <w:sz w:val="24"/>
          <w:szCs w:val="24"/>
          <w:lang w:eastAsia="en-US"/>
        </w:rPr>
        <w:t>szült felvételek és adatforgalmi nyilvántartások néha az egyetlen bizonyítékai a piaci visszaélé</w:t>
      </w:r>
      <w:r w:rsidRPr="00593944">
        <w:rPr>
          <w:rFonts w:asciiTheme="minorHAnsi" w:hAnsiTheme="minorHAnsi"/>
          <w:sz w:val="24"/>
          <w:szCs w:val="24"/>
          <w:lang w:eastAsia="en-US"/>
        </w:rPr>
        <w:t>s</w:t>
      </w:r>
      <w:r w:rsidRPr="00593944">
        <w:rPr>
          <w:rFonts w:asciiTheme="minorHAnsi" w:hAnsiTheme="minorHAnsi"/>
          <w:sz w:val="24"/>
          <w:szCs w:val="24"/>
          <w:lang w:eastAsia="en-US"/>
        </w:rPr>
        <w:t>nek. A nyilvántartás részeként rögzíteni kell tehát legalább azokat a telefonbeszélgetéseket és elektronikus üzenetváltásokat, amelyek a sajátszámlás kereskedésben megkötött ügyleteket, valamint a megbízások átvételével, továbbításával és végrehajtásával kapcsolatos ügyfélmegbíz</w:t>
      </w:r>
      <w:r w:rsidRPr="00593944">
        <w:rPr>
          <w:rFonts w:asciiTheme="minorHAnsi" w:hAnsiTheme="minorHAnsi"/>
          <w:sz w:val="24"/>
          <w:szCs w:val="24"/>
          <w:lang w:eastAsia="en-US"/>
        </w:rPr>
        <w:t>á</w:t>
      </w:r>
      <w:r w:rsidRPr="00593944">
        <w:rPr>
          <w:rFonts w:asciiTheme="minorHAnsi" w:hAnsiTheme="minorHAnsi"/>
          <w:sz w:val="24"/>
          <w:szCs w:val="24"/>
          <w:lang w:eastAsia="en-US"/>
        </w:rPr>
        <w:t>si szolgáltatásokat érintik.</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.11.</w:t>
      </w:r>
      <w:r w:rsidR="00593944" w:rsidRPr="00593944">
        <w:rPr>
          <w:rFonts w:asciiTheme="minorHAnsi" w:hAnsiTheme="minorHAnsi"/>
          <w:b/>
          <w:sz w:val="24"/>
          <w:szCs w:val="24"/>
          <w:lang w:eastAsia="en-US"/>
        </w:rPr>
        <w:tab/>
      </w:r>
      <w:proofErr w:type="gramStart"/>
      <w:r w:rsidR="00593944" w:rsidRPr="00593944">
        <w:rPr>
          <w:rFonts w:asciiTheme="minorHAnsi" w:hAnsiTheme="minorHAnsi"/>
          <w:b/>
          <w:sz w:val="24"/>
          <w:szCs w:val="24"/>
          <w:lang w:eastAsia="en-US"/>
        </w:rPr>
        <w:t>Algoritmikus kereskedéssel</w:t>
      </w:r>
      <w:proofErr w:type="gramEnd"/>
      <w:r w:rsidR="00593944" w:rsidRPr="00593944">
        <w:rPr>
          <w:rFonts w:asciiTheme="minorHAnsi" w:hAnsiTheme="minorHAnsi"/>
          <w:b/>
          <w:sz w:val="24"/>
          <w:szCs w:val="24"/>
          <w:lang w:eastAsia="en-US"/>
        </w:rPr>
        <w:t xml:space="preserve"> kapcsolatos szabályok bevezetése</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 xml:space="preserve">Az elmúlt években a pénzügyi piacokon számos változás és technológiai újítás volt tapasztalható. Egyre több piaci szereplő alkalmazza például az </w:t>
      </w:r>
      <w:proofErr w:type="gramStart"/>
      <w:r w:rsidRPr="00593944">
        <w:rPr>
          <w:rFonts w:asciiTheme="minorHAnsi" w:hAnsiTheme="minorHAnsi"/>
          <w:sz w:val="24"/>
          <w:szCs w:val="24"/>
          <w:lang w:eastAsia="en-US"/>
        </w:rPr>
        <w:t>algoritmikus kereskedést</w:t>
      </w:r>
      <w:proofErr w:type="gramEnd"/>
      <w:r w:rsidRPr="00593944">
        <w:rPr>
          <w:rFonts w:asciiTheme="minorHAnsi" w:hAnsiTheme="minorHAnsi"/>
          <w:sz w:val="24"/>
          <w:szCs w:val="24"/>
          <w:lang w:eastAsia="en-US"/>
        </w:rPr>
        <w:t xml:space="preserve"> és az annak egy speciális részét képező nagysebességű algoritmikus kereskedést. A kereskedési technológia fejlődése a kereskedés gyorsaságának és összetettségének növekedéséhez vezetett, mely az átláthatóság és megfelelő szintű befektetővédelem biztosítása, valamint a kockázatok csökkentése érdekében indokolttá tette a kapcsolódó szabályok felülvizsgálatát és bővítését. Ennek érdekében a MiFID II egyértelmű meghatározást ad az </w:t>
      </w:r>
      <w:proofErr w:type="gramStart"/>
      <w:r w:rsidRPr="00593944">
        <w:rPr>
          <w:rFonts w:asciiTheme="minorHAnsi" w:hAnsiTheme="minorHAnsi"/>
          <w:sz w:val="24"/>
          <w:szCs w:val="24"/>
          <w:lang w:eastAsia="en-US"/>
        </w:rPr>
        <w:t>algoritmikus kereskedésre</w:t>
      </w:r>
      <w:proofErr w:type="gramEnd"/>
      <w:r w:rsidRPr="00593944">
        <w:rPr>
          <w:rFonts w:asciiTheme="minorHAnsi" w:hAnsiTheme="minorHAnsi"/>
          <w:sz w:val="24"/>
          <w:szCs w:val="24"/>
          <w:lang w:eastAsia="en-US"/>
        </w:rPr>
        <w:t xml:space="preserve">  és a nagysebességű algoritmikus kereskedési technikára, valamint előírja, hogy minden, nagysebességű algoritmikus kereskedést folytató vállalkozásnak engedélyeztetnie kell magát. Ezáltal biztosítható, hogy megfelelő felügy</w:t>
      </w:r>
      <w:r w:rsidRPr="00593944">
        <w:rPr>
          <w:rFonts w:asciiTheme="minorHAnsi" w:hAnsiTheme="minorHAnsi"/>
          <w:sz w:val="24"/>
          <w:szCs w:val="24"/>
          <w:lang w:eastAsia="en-US"/>
        </w:rPr>
        <w:t>e</w:t>
      </w:r>
      <w:r w:rsidRPr="00593944">
        <w:rPr>
          <w:rFonts w:asciiTheme="minorHAnsi" w:hAnsiTheme="minorHAnsi"/>
          <w:sz w:val="24"/>
          <w:szCs w:val="24"/>
          <w:lang w:eastAsia="en-US"/>
        </w:rPr>
        <w:t xml:space="preserve">let alatt állnak és teljesíteniük kell a MiFID </w:t>
      </w:r>
      <w:r w:rsidR="00F92344">
        <w:rPr>
          <w:rFonts w:asciiTheme="minorHAnsi" w:hAnsiTheme="minorHAnsi"/>
          <w:sz w:val="24"/>
          <w:szCs w:val="24"/>
          <w:lang w:eastAsia="en-US"/>
        </w:rPr>
        <w:t xml:space="preserve">II </w:t>
      </w:r>
      <w:r w:rsidRPr="00593944">
        <w:rPr>
          <w:rFonts w:asciiTheme="minorHAnsi" w:hAnsiTheme="minorHAnsi"/>
          <w:sz w:val="24"/>
          <w:szCs w:val="24"/>
          <w:lang w:eastAsia="en-US"/>
        </w:rPr>
        <w:t>szerinti szervezeti követelményeket. Azoknak a sze</w:t>
      </w:r>
      <w:r w:rsidRPr="00593944">
        <w:rPr>
          <w:rFonts w:asciiTheme="minorHAnsi" w:hAnsiTheme="minorHAnsi"/>
          <w:sz w:val="24"/>
          <w:szCs w:val="24"/>
          <w:lang w:eastAsia="en-US"/>
        </w:rPr>
        <w:t>r</w:t>
      </w:r>
      <w:r w:rsidRPr="00593944">
        <w:rPr>
          <w:rFonts w:asciiTheme="minorHAnsi" w:hAnsiTheme="minorHAnsi"/>
          <w:sz w:val="24"/>
          <w:szCs w:val="24"/>
          <w:lang w:eastAsia="en-US"/>
        </w:rPr>
        <w:t xml:space="preserve">vezeteknek viszont, amelyek a pénzügyi ágazatot szabályozó uniós jog szerinti engedélyezés és felügyelet alá tartoznak és mentességet élveznek a MiFID </w:t>
      </w:r>
      <w:r w:rsidR="00FE4AE3">
        <w:rPr>
          <w:rFonts w:asciiTheme="minorHAnsi" w:hAnsiTheme="minorHAnsi"/>
          <w:sz w:val="24"/>
          <w:szCs w:val="24"/>
          <w:lang w:eastAsia="en-US"/>
        </w:rPr>
        <w:t xml:space="preserve">II </w:t>
      </w:r>
      <w:r w:rsidRPr="00593944">
        <w:rPr>
          <w:rFonts w:asciiTheme="minorHAnsi" w:hAnsiTheme="minorHAnsi"/>
          <w:sz w:val="24"/>
          <w:szCs w:val="24"/>
          <w:lang w:eastAsia="en-US"/>
        </w:rPr>
        <w:t xml:space="preserve">alkalmazása alól, ugyanakkor </w:t>
      </w:r>
      <w:proofErr w:type="gramStart"/>
      <w:r w:rsidRPr="00593944">
        <w:rPr>
          <w:rFonts w:asciiTheme="minorHAnsi" w:hAnsiTheme="minorHAnsi"/>
          <w:sz w:val="24"/>
          <w:szCs w:val="24"/>
          <w:lang w:eastAsia="en-US"/>
        </w:rPr>
        <w:t>algori</w:t>
      </w:r>
      <w:r w:rsidRPr="00593944">
        <w:rPr>
          <w:rFonts w:asciiTheme="minorHAnsi" w:hAnsiTheme="minorHAnsi"/>
          <w:sz w:val="24"/>
          <w:szCs w:val="24"/>
          <w:lang w:eastAsia="en-US"/>
        </w:rPr>
        <w:t>t</w:t>
      </w:r>
      <w:r w:rsidRPr="00593944">
        <w:rPr>
          <w:rFonts w:asciiTheme="minorHAnsi" w:hAnsiTheme="minorHAnsi"/>
          <w:sz w:val="24"/>
          <w:szCs w:val="24"/>
          <w:lang w:eastAsia="en-US"/>
        </w:rPr>
        <w:t>mikus kereskedési</w:t>
      </w:r>
      <w:proofErr w:type="gramEnd"/>
      <w:r w:rsidRPr="00593944">
        <w:rPr>
          <w:rFonts w:asciiTheme="minorHAnsi" w:hAnsiTheme="minorHAnsi"/>
          <w:sz w:val="24"/>
          <w:szCs w:val="24"/>
          <w:lang w:eastAsia="en-US"/>
        </w:rPr>
        <w:t xml:space="preserve"> technikát alkalmaznak, kizárólag az e kereskedési formából fakadó kockázatok keze</w:t>
      </w:r>
      <w:r w:rsidR="00F6351B">
        <w:rPr>
          <w:rFonts w:asciiTheme="minorHAnsi" w:hAnsiTheme="minorHAnsi"/>
          <w:sz w:val="24"/>
          <w:szCs w:val="24"/>
          <w:lang w:eastAsia="en-US"/>
        </w:rPr>
        <w:t>lésére irányuló intéz</w:t>
      </w:r>
      <w:r w:rsidRPr="00593944">
        <w:rPr>
          <w:rFonts w:asciiTheme="minorHAnsi" w:hAnsiTheme="minorHAnsi"/>
          <w:sz w:val="24"/>
          <w:szCs w:val="24"/>
          <w:lang w:eastAsia="en-US"/>
        </w:rPr>
        <w:t>kedéseknek és ellenőrzési követelményeknek kell megfelelniük.</w:t>
      </w:r>
    </w:p>
    <w:p w:rsid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 xml:space="preserve">A hatékony felügyelet érdekében minden algoritmikus kereskedés keretében létrejött megbízást meg kell jelölni, ezáltal az illetékes hatóságok beazonosíthatják ezeket az ügyleteket, valamint felmérhetik az </w:t>
      </w:r>
      <w:proofErr w:type="gramStart"/>
      <w:r w:rsidRPr="00593944">
        <w:rPr>
          <w:rFonts w:asciiTheme="minorHAnsi" w:hAnsiTheme="minorHAnsi"/>
          <w:sz w:val="24"/>
          <w:szCs w:val="24"/>
          <w:lang w:eastAsia="en-US"/>
        </w:rPr>
        <w:t>algoritmikus kereskedők</w:t>
      </w:r>
      <w:proofErr w:type="gramEnd"/>
      <w:r w:rsidRPr="00593944">
        <w:rPr>
          <w:rFonts w:asciiTheme="minorHAnsi" w:hAnsiTheme="minorHAnsi"/>
          <w:sz w:val="24"/>
          <w:szCs w:val="24"/>
          <w:lang w:eastAsia="en-US"/>
        </w:rPr>
        <w:t xml:space="preserve"> által alkalmazott stratégiákat. Emellett a felügyeleti hat</w:t>
      </w:r>
      <w:r w:rsidRPr="00593944">
        <w:rPr>
          <w:rFonts w:asciiTheme="minorHAnsi" w:hAnsiTheme="minorHAnsi"/>
          <w:sz w:val="24"/>
          <w:szCs w:val="24"/>
          <w:lang w:eastAsia="en-US"/>
        </w:rPr>
        <w:t>ó</w:t>
      </w:r>
      <w:r w:rsidRPr="00593944">
        <w:rPr>
          <w:rFonts w:asciiTheme="minorHAnsi" w:hAnsiTheme="minorHAnsi"/>
          <w:sz w:val="24"/>
          <w:szCs w:val="24"/>
          <w:lang w:eastAsia="en-US"/>
        </w:rPr>
        <w:t>ság kötelezheti a befektetési vállalkozást, hogy adjon leírást az algoritmikus kereskedési stratégiái jellegéről.</w:t>
      </w:r>
    </w:p>
    <w:p w:rsidR="000D5944" w:rsidRDefault="000D5944" w:rsidP="00593944">
      <w:pPr>
        <w:tabs>
          <w:tab w:val="left" w:pos="426"/>
        </w:tabs>
        <w:spacing w:after="120"/>
        <w:rPr>
          <w:rFonts w:asciiTheme="minorHAnsi" w:hAnsiTheme="minorHAnsi"/>
          <w:sz w:val="24"/>
          <w:szCs w:val="24"/>
          <w:lang w:eastAsia="en-US"/>
        </w:rPr>
      </w:pPr>
    </w:p>
    <w:p w:rsidR="000D5944" w:rsidRPr="00593944" w:rsidRDefault="000D5944" w:rsidP="00593944">
      <w:pPr>
        <w:tabs>
          <w:tab w:val="left" w:pos="426"/>
        </w:tabs>
        <w:spacing w:after="120"/>
        <w:rPr>
          <w:rFonts w:asciiTheme="minorHAnsi" w:hAnsiTheme="minorHAnsi"/>
          <w:sz w:val="24"/>
          <w:szCs w:val="24"/>
          <w:lang w:eastAsia="en-US"/>
        </w:rPr>
      </w:pP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lastRenderedPageBreak/>
        <w:t>3</w:t>
      </w:r>
      <w:r w:rsidR="00593944" w:rsidRPr="00593944">
        <w:rPr>
          <w:rFonts w:asciiTheme="minorHAnsi" w:hAnsiTheme="minorHAnsi"/>
          <w:b/>
          <w:sz w:val="24"/>
          <w:szCs w:val="24"/>
          <w:lang w:eastAsia="en-US"/>
        </w:rPr>
        <w:t>.12.</w:t>
      </w:r>
      <w:r w:rsidR="00593944" w:rsidRPr="00593944">
        <w:rPr>
          <w:rFonts w:asciiTheme="minorHAnsi" w:hAnsiTheme="minorHAnsi"/>
          <w:b/>
          <w:sz w:val="24"/>
          <w:szCs w:val="24"/>
          <w:lang w:eastAsia="en-US"/>
        </w:rPr>
        <w:tab/>
        <w:t>Összeférhetetlenség</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Az összeférhetetlenség megelőzésével, beazonosításával és közzétételével kapcsolatban a MiFID I számos rendelkezést tartalmaz, kiemelve, hogy a befektetési vállalkozások többsége egyidejűleg egyre több tevékenységet végez, mely megnöveli az összeférhetetlenség lehetőségét a tevéken</w:t>
      </w:r>
      <w:r w:rsidRPr="00593944">
        <w:rPr>
          <w:rFonts w:asciiTheme="minorHAnsi" w:hAnsiTheme="minorHAnsi"/>
          <w:sz w:val="24"/>
          <w:szCs w:val="24"/>
          <w:lang w:eastAsia="en-US"/>
        </w:rPr>
        <w:t>y</w:t>
      </w:r>
      <w:r w:rsidRPr="00593944">
        <w:rPr>
          <w:rFonts w:asciiTheme="minorHAnsi" w:hAnsiTheme="minorHAnsi"/>
          <w:sz w:val="24"/>
          <w:szCs w:val="24"/>
          <w:lang w:eastAsia="en-US"/>
        </w:rPr>
        <w:t xml:space="preserve">ségek és ügyfelek érdekei között.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 az összeférhetetlenséggel kapcsolatban nem fogalmaz meg jelentős változásokat, fe</w:t>
      </w:r>
      <w:r w:rsidRPr="00593944">
        <w:rPr>
          <w:rFonts w:asciiTheme="minorHAnsi" w:hAnsiTheme="minorHAnsi"/>
          <w:sz w:val="24"/>
          <w:szCs w:val="24"/>
          <w:lang w:eastAsia="en-US"/>
        </w:rPr>
        <w:t>l</w:t>
      </w:r>
      <w:r w:rsidRPr="00593944">
        <w:rPr>
          <w:rFonts w:asciiTheme="minorHAnsi" w:hAnsiTheme="minorHAnsi"/>
          <w:sz w:val="24"/>
          <w:szCs w:val="24"/>
          <w:lang w:eastAsia="en-US"/>
        </w:rPr>
        <w:t xml:space="preserve">hívja azonban a figyelmet arra, hogy az </w:t>
      </w:r>
      <w:r w:rsidR="00417557" w:rsidRPr="00593944">
        <w:rPr>
          <w:rFonts w:asciiTheme="minorHAnsi" w:hAnsiTheme="minorHAnsi"/>
          <w:sz w:val="24"/>
          <w:szCs w:val="24"/>
          <w:lang w:eastAsia="en-US"/>
        </w:rPr>
        <w:t>ösztönz</w:t>
      </w:r>
      <w:r w:rsidR="00417557">
        <w:rPr>
          <w:rFonts w:asciiTheme="minorHAnsi" w:hAnsiTheme="minorHAnsi"/>
          <w:sz w:val="24"/>
          <w:szCs w:val="24"/>
          <w:lang w:eastAsia="en-US"/>
        </w:rPr>
        <w:t>ő</w:t>
      </w:r>
      <w:r w:rsidR="00417557" w:rsidRPr="00593944">
        <w:rPr>
          <w:rFonts w:asciiTheme="minorHAnsi" w:hAnsiTheme="minorHAnsi"/>
          <w:sz w:val="24"/>
          <w:szCs w:val="24"/>
          <w:lang w:eastAsia="en-US"/>
        </w:rPr>
        <w:t>k</w:t>
      </w:r>
      <w:r w:rsidRPr="00593944">
        <w:rPr>
          <w:rFonts w:asciiTheme="minorHAnsi" w:hAnsiTheme="minorHAnsi"/>
          <w:sz w:val="24"/>
          <w:szCs w:val="24"/>
          <w:lang w:eastAsia="en-US"/>
        </w:rPr>
        <w:t xml:space="preserve"> és javadalmazási struktúrák is előidézhetnek érdekellentéteket, ezért ezeknek az ügyfelekkel szembeni tisztességes eljárásra és az ügyfelekkel fennálló kapcsolatokban az érdekellentétek elkerülésére kell ösztönöznie.</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.13.</w:t>
      </w:r>
      <w:r w:rsidR="00593944" w:rsidRPr="00593944">
        <w:rPr>
          <w:rFonts w:asciiTheme="minorHAnsi" w:hAnsiTheme="minorHAnsi"/>
          <w:b/>
          <w:sz w:val="24"/>
          <w:szCs w:val="24"/>
          <w:lang w:eastAsia="en-US"/>
        </w:rPr>
        <w:tab/>
        <w:t>Új termékirányítási (product governance) rezsim bevezetése</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 új, európai szintű termékirányítási szabályrendszert vezet be mind a pénzügyi eszköz</w:t>
      </w:r>
      <w:r w:rsidRPr="00593944">
        <w:rPr>
          <w:rFonts w:asciiTheme="minorHAnsi" w:hAnsiTheme="minorHAnsi"/>
          <w:sz w:val="24"/>
          <w:szCs w:val="24"/>
          <w:lang w:eastAsia="en-US"/>
        </w:rPr>
        <w:t>ö</w:t>
      </w:r>
      <w:r w:rsidRPr="00593944">
        <w:rPr>
          <w:rFonts w:asciiTheme="minorHAnsi" w:hAnsiTheme="minorHAnsi"/>
          <w:sz w:val="24"/>
          <w:szCs w:val="24"/>
          <w:lang w:eastAsia="en-US"/>
        </w:rPr>
        <w:t xml:space="preserve">ket kialakító befektetési vállalkozások </w:t>
      </w:r>
      <w:r w:rsidRPr="00593944">
        <w:rPr>
          <w:rFonts w:asciiTheme="minorHAnsi" w:hAnsiTheme="minorHAnsi"/>
          <w:i/>
          <w:sz w:val="24"/>
          <w:szCs w:val="24"/>
          <w:lang w:eastAsia="en-US"/>
        </w:rPr>
        <w:t>(product manufacturer)</w:t>
      </w:r>
      <w:r w:rsidRPr="00593944">
        <w:rPr>
          <w:rFonts w:asciiTheme="minorHAnsi" w:hAnsiTheme="minorHAnsi"/>
          <w:sz w:val="24"/>
          <w:szCs w:val="24"/>
          <w:lang w:eastAsia="en-US"/>
        </w:rPr>
        <w:t xml:space="preserve">, mind a forgalmazók </w:t>
      </w:r>
      <w:r w:rsidRPr="00593944">
        <w:rPr>
          <w:rFonts w:asciiTheme="minorHAnsi" w:hAnsiTheme="minorHAnsi"/>
          <w:i/>
          <w:sz w:val="24"/>
          <w:szCs w:val="24"/>
          <w:lang w:eastAsia="en-US"/>
        </w:rPr>
        <w:t>(distributor)</w:t>
      </w:r>
      <w:r w:rsidRPr="00593944">
        <w:rPr>
          <w:rFonts w:asciiTheme="minorHAnsi" w:hAnsiTheme="minorHAnsi"/>
          <w:sz w:val="24"/>
          <w:szCs w:val="24"/>
          <w:lang w:eastAsia="en-US"/>
        </w:rPr>
        <w:t xml:space="preserve"> számára.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pénzügyi eszközök kialakítását végző vállalkozásoknak a szervezeti követelmények teljesítésén keresztül olyan termék jóváhagyási folyamattal kell rendelkezniük, mely biztosítja, hogy a befe</w:t>
      </w:r>
      <w:r w:rsidRPr="00593944">
        <w:rPr>
          <w:rFonts w:asciiTheme="minorHAnsi" w:hAnsiTheme="minorHAnsi"/>
          <w:sz w:val="24"/>
          <w:szCs w:val="24"/>
          <w:lang w:eastAsia="en-US"/>
        </w:rPr>
        <w:t>k</w:t>
      </w:r>
      <w:r w:rsidRPr="00593944">
        <w:rPr>
          <w:rFonts w:asciiTheme="minorHAnsi" w:hAnsiTheme="minorHAnsi"/>
          <w:sz w:val="24"/>
          <w:szCs w:val="24"/>
          <w:lang w:eastAsia="en-US"/>
        </w:rPr>
        <w:t xml:space="preserve">tetési termékeket az adott célpiac igényeivel összhangban, a kockázatok értékelését követően hozzák létre, valamint a forgalmazók számára megfelelő információkat biztosítanak, elérhetővé téve számukra a pénzügyi eszközre és termék jóváhagyási folyamatra vonatkozó összes adatot. </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.14.</w:t>
      </w:r>
      <w:r w:rsidR="00593944" w:rsidRPr="00593944">
        <w:rPr>
          <w:rFonts w:asciiTheme="minorHAnsi" w:hAnsiTheme="minorHAnsi"/>
          <w:b/>
          <w:sz w:val="24"/>
          <w:szCs w:val="24"/>
          <w:lang w:eastAsia="en-US"/>
        </w:rPr>
        <w:tab/>
        <w:t>Pozíciómenedzsment</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II-ben új szabályként jelennek meg a pozíciólimitek és a pozíciókezelési kontrollmech</w:t>
      </w:r>
      <w:r w:rsidRPr="00593944">
        <w:rPr>
          <w:rFonts w:asciiTheme="minorHAnsi" w:hAnsiTheme="minorHAnsi"/>
          <w:sz w:val="24"/>
          <w:szCs w:val="24"/>
          <w:lang w:eastAsia="en-US"/>
        </w:rPr>
        <w:t>a</w:t>
      </w:r>
      <w:r w:rsidRPr="00593944">
        <w:rPr>
          <w:rFonts w:asciiTheme="minorHAnsi" w:hAnsiTheme="minorHAnsi"/>
          <w:sz w:val="24"/>
          <w:szCs w:val="24"/>
          <w:lang w:eastAsia="en-US"/>
        </w:rPr>
        <w:t>nizmus az árualapú származtatott termékekre vonatkozóan. Ez alapján a felügyeleteknek korl</w:t>
      </w:r>
      <w:r w:rsidRPr="00593944">
        <w:rPr>
          <w:rFonts w:asciiTheme="minorHAnsi" w:hAnsiTheme="minorHAnsi"/>
          <w:sz w:val="24"/>
          <w:szCs w:val="24"/>
          <w:lang w:eastAsia="en-US"/>
        </w:rPr>
        <w:t>á</w:t>
      </w:r>
      <w:r w:rsidRPr="00593944">
        <w:rPr>
          <w:rFonts w:asciiTheme="minorHAnsi" w:hAnsiTheme="minorHAnsi"/>
          <w:sz w:val="24"/>
          <w:szCs w:val="24"/>
          <w:lang w:eastAsia="en-US"/>
        </w:rPr>
        <w:t xml:space="preserve">tozniuk kell az egy befektető által egy adott árupiaci derivatívában, meghatározott időszakban felvehető pozíció nagyságát. A pozíciólimiteket a felügyeletek az ESMA </w:t>
      </w:r>
      <w:r w:rsidR="00F27CD8" w:rsidRPr="001C729E">
        <w:rPr>
          <w:rFonts w:asciiTheme="minorHAnsi" w:hAnsiTheme="minorHAnsi"/>
          <w:i/>
          <w:sz w:val="24"/>
          <w:szCs w:val="24"/>
          <w:lang w:eastAsia="en-US"/>
        </w:rPr>
        <w:t>(European Securities and Markets Authority)</w:t>
      </w:r>
      <w:r w:rsidR="00F27CD8">
        <w:rPr>
          <w:rFonts w:asciiTheme="minorHAnsi" w:hAnsiTheme="minorHAnsi"/>
          <w:i/>
          <w:sz w:val="24"/>
          <w:szCs w:val="24"/>
          <w:lang w:eastAsia="en-US"/>
        </w:rPr>
        <w:t xml:space="preserve"> </w:t>
      </w:r>
      <w:r w:rsidRPr="00593944">
        <w:rPr>
          <w:rFonts w:asciiTheme="minorHAnsi" w:hAnsiTheme="minorHAnsi"/>
          <w:sz w:val="24"/>
          <w:szCs w:val="24"/>
          <w:lang w:eastAsia="en-US"/>
        </w:rPr>
        <w:t>által meghatározott számítási módszertannal összhangban határozzák meg. A limitek meghatározása a piaci visszaélés megelőzése, illetve a szabályszerű árazási és kiegyenlítési feltételek támogatása érdekében történik.</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MiFID II kötelezővé teszi a pozíciók birtokosainak kategóriái szerinti jelentést is, így az olyan kereskedési helyszínt működtető befektetési vállalkozásoknak, amelyeken derivatív ügyletekkel kereskednek, heti jelentést kell közzétenniük a személyek különböző kategóriái szerinti összes</w:t>
      </w:r>
      <w:r w:rsidRPr="00593944">
        <w:rPr>
          <w:rFonts w:asciiTheme="minorHAnsi" w:hAnsiTheme="minorHAnsi"/>
          <w:sz w:val="24"/>
          <w:szCs w:val="24"/>
          <w:lang w:eastAsia="en-US"/>
        </w:rPr>
        <w:t>í</w:t>
      </w:r>
      <w:r w:rsidRPr="00593944">
        <w:rPr>
          <w:rFonts w:asciiTheme="minorHAnsi" w:hAnsiTheme="minorHAnsi"/>
          <w:sz w:val="24"/>
          <w:szCs w:val="24"/>
          <w:lang w:eastAsia="en-US"/>
        </w:rPr>
        <w:t xml:space="preserve">tett pozíciókról, illetve az illetékes hatóságnak át kell adniuk az érintett kereskedési helyszínen jelen lévő összes személy pozícióinak teljes körű, legalább napi szintű bontását.  </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.15.</w:t>
      </w:r>
      <w:r w:rsidR="00593944" w:rsidRPr="00593944">
        <w:rPr>
          <w:rFonts w:asciiTheme="minorHAnsi" w:hAnsiTheme="minorHAnsi"/>
          <w:b/>
          <w:sz w:val="24"/>
          <w:szCs w:val="24"/>
          <w:lang w:eastAsia="en-US"/>
        </w:rPr>
        <w:tab/>
        <w:t xml:space="preserve">Új szankcionálási rezsim </w:t>
      </w:r>
    </w:p>
    <w:p w:rsidR="001C729E" w:rsidRDefault="001C729E" w:rsidP="00593944">
      <w:pPr>
        <w:tabs>
          <w:tab w:val="left" w:pos="426"/>
        </w:tabs>
        <w:spacing w:after="120"/>
        <w:rPr>
          <w:rFonts w:asciiTheme="minorHAnsi" w:hAnsiTheme="minorHAnsi"/>
          <w:sz w:val="24"/>
          <w:szCs w:val="24"/>
          <w:lang w:eastAsia="en-US"/>
        </w:rPr>
      </w:pPr>
      <w:r>
        <w:rPr>
          <w:rFonts w:asciiTheme="minorHAnsi" w:hAnsiTheme="minorHAnsi"/>
          <w:sz w:val="24"/>
          <w:szCs w:val="24"/>
          <w:lang w:eastAsia="en-US"/>
        </w:rPr>
        <w:t>A MiFID I gyakorlati alkalmazásával kapcsolatban beazonosított hiányosságok egyike, hogy a fel</w:t>
      </w:r>
      <w:r>
        <w:rPr>
          <w:rFonts w:asciiTheme="minorHAnsi" w:hAnsiTheme="minorHAnsi"/>
          <w:sz w:val="24"/>
          <w:szCs w:val="24"/>
          <w:lang w:eastAsia="en-US"/>
        </w:rPr>
        <w:t>ü</w:t>
      </w:r>
      <w:r>
        <w:rPr>
          <w:rFonts w:asciiTheme="minorHAnsi" w:hAnsiTheme="minorHAnsi"/>
          <w:sz w:val="24"/>
          <w:szCs w:val="24"/>
          <w:lang w:eastAsia="en-US"/>
        </w:rPr>
        <w:t xml:space="preserve">gyeleti hatóságoknak nem minden esetben volt elegendő szankcionálási joguk, ráadásul ezek a jogok eltéréseket mutattak a tagállamok között. A MiFID II ennek következtében új szankcionálási rezsimet hoz létre, jelentősen bővítve a felügyeletek és az ESMA jogköreit.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lastRenderedPageBreak/>
        <w:t xml:space="preserve">Míg a MiFID I kimondja, hogy a tagállamoknak </w:t>
      </w:r>
      <w:r w:rsidR="00EE13DF" w:rsidRPr="00593944">
        <w:rPr>
          <w:rFonts w:asciiTheme="minorHAnsi" w:hAnsiTheme="minorHAnsi"/>
          <w:sz w:val="24"/>
          <w:szCs w:val="24"/>
          <w:lang w:eastAsia="en-US"/>
        </w:rPr>
        <w:t>biztosítani</w:t>
      </w:r>
      <w:r w:rsidR="00EE13DF">
        <w:rPr>
          <w:rFonts w:asciiTheme="minorHAnsi" w:hAnsiTheme="minorHAnsi"/>
          <w:sz w:val="24"/>
          <w:szCs w:val="24"/>
          <w:lang w:eastAsia="en-US"/>
        </w:rPr>
        <w:t>uk</w:t>
      </w:r>
      <w:r w:rsidR="00EE13DF" w:rsidRPr="00593944">
        <w:rPr>
          <w:rFonts w:asciiTheme="minorHAnsi" w:hAnsiTheme="minorHAnsi"/>
          <w:sz w:val="24"/>
          <w:szCs w:val="24"/>
          <w:lang w:eastAsia="en-US"/>
        </w:rPr>
        <w:t xml:space="preserve"> </w:t>
      </w:r>
      <w:r w:rsidRPr="00593944">
        <w:rPr>
          <w:rFonts w:asciiTheme="minorHAnsi" w:hAnsiTheme="minorHAnsi"/>
          <w:sz w:val="24"/>
          <w:szCs w:val="24"/>
          <w:lang w:eastAsia="en-US"/>
        </w:rPr>
        <w:t>kell, hogy közigazgatási szankciókat lehessen kiszabni azon személyekkel szemben, akik felelősek az irányelv rendelkezéseinek me</w:t>
      </w:r>
      <w:r w:rsidRPr="00593944">
        <w:rPr>
          <w:rFonts w:asciiTheme="minorHAnsi" w:hAnsiTheme="minorHAnsi"/>
          <w:sz w:val="24"/>
          <w:szCs w:val="24"/>
          <w:lang w:eastAsia="en-US"/>
        </w:rPr>
        <w:t>g</w:t>
      </w:r>
      <w:r w:rsidRPr="00593944">
        <w:rPr>
          <w:rFonts w:asciiTheme="minorHAnsi" w:hAnsiTheme="minorHAnsi"/>
          <w:sz w:val="24"/>
          <w:szCs w:val="24"/>
          <w:lang w:eastAsia="en-US"/>
        </w:rPr>
        <w:t>szegéséért, addig a MiFID II bizonyos jogsértések esetén (például vizsgálatban vagy ellenőrzésben való együttműködés megtagadása vagy engedély, jóváhagyás nélküli befektetési szolgáltatásnyú</w:t>
      </w:r>
      <w:r w:rsidRPr="00593944">
        <w:rPr>
          <w:rFonts w:asciiTheme="minorHAnsi" w:hAnsiTheme="minorHAnsi"/>
          <w:sz w:val="24"/>
          <w:szCs w:val="24"/>
          <w:lang w:eastAsia="en-US"/>
        </w:rPr>
        <w:t>j</w:t>
      </w:r>
      <w:r w:rsidRPr="00593944">
        <w:rPr>
          <w:rFonts w:asciiTheme="minorHAnsi" w:hAnsiTheme="minorHAnsi"/>
          <w:sz w:val="24"/>
          <w:szCs w:val="24"/>
          <w:lang w:eastAsia="en-US"/>
        </w:rPr>
        <w:t>tás) egy minimálisan biztosítandó eszköztárt ír elő. Ez alapján természetes személyek esetében legalább 5 000 000 euró maximális összegű közigazgatási pénzbírságot szükséges meghatározni, míg jogi személyek esetében a pénzbírság felső határa legalább 5 000 000 EUR, vagy teljes éves árbevételének legfeljebb 10 %-</w:t>
      </w:r>
      <w:proofErr w:type="gramStart"/>
      <w:r w:rsidRPr="00593944">
        <w:rPr>
          <w:rFonts w:asciiTheme="minorHAnsi" w:hAnsiTheme="minorHAnsi"/>
          <w:sz w:val="24"/>
          <w:szCs w:val="24"/>
          <w:lang w:eastAsia="en-US"/>
        </w:rPr>
        <w:t>a.</w:t>
      </w:r>
      <w:proofErr w:type="gramEnd"/>
      <w:r w:rsidRPr="00593944">
        <w:rPr>
          <w:rFonts w:asciiTheme="minorHAnsi" w:hAnsiTheme="minorHAnsi"/>
          <w:sz w:val="24"/>
          <w:szCs w:val="24"/>
          <w:lang w:eastAsia="en-US"/>
        </w:rPr>
        <w:t xml:space="preserve"> </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3</w:t>
      </w:r>
      <w:r w:rsidR="00593944" w:rsidRPr="00593944">
        <w:rPr>
          <w:rFonts w:asciiTheme="minorHAnsi" w:hAnsiTheme="minorHAnsi"/>
          <w:b/>
          <w:sz w:val="24"/>
          <w:szCs w:val="24"/>
          <w:lang w:eastAsia="en-US"/>
        </w:rPr>
        <w:t>.16. A rendszeres internalizálókra vonatkozó rezsim</w:t>
      </w:r>
    </w:p>
    <w:p w:rsidR="00593944" w:rsidRPr="000D5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r</w:t>
      </w:r>
      <w:r w:rsidR="001C729E">
        <w:rPr>
          <w:rFonts w:asciiTheme="minorHAnsi" w:hAnsiTheme="minorHAnsi"/>
          <w:sz w:val="24"/>
          <w:szCs w:val="24"/>
          <w:lang w:eastAsia="en-US"/>
        </w:rPr>
        <w:t>endszeres internalizálók fogalmát a MiFID I vezette be. A</w:t>
      </w:r>
      <w:r w:rsidRPr="00593944">
        <w:rPr>
          <w:rFonts w:asciiTheme="minorHAnsi" w:hAnsiTheme="minorHAnsi"/>
          <w:sz w:val="24"/>
          <w:szCs w:val="24"/>
          <w:lang w:eastAsia="en-US"/>
        </w:rPr>
        <w:t xml:space="preserve"> def</w:t>
      </w:r>
      <w:r w:rsidR="00EE13DF">
        <w:rPr>
          <w:rFonts w:asciiTheme="minorHAnsi" w:hAnsiTheme="minorHAnsi"/>
          <w:sz w:val="24"/>
          <w:szCs w:val="24"/>
          <w:lang w:eastAsia="en-US"/>
        </w:rPr>
        <w:t>i</w:t>
      </w:r>
      <w:r w:rsidRPr="00593944">
        <w:rPr>
          <w:rFonts w:asciiTheme="minorHAnsi" w:hAnsiTheme="minorHAnsi"/>
          <w:sz w:val="24"/>
          <w:szCs w:val="24"/>
          <w:lang w:eastAsia="en-US"/>
        </w:rPr>
        <w:t xml:space="preserve">níció </w:t>
      </w:r>
      <w:r w:rsidR="001C729E">
        <w:rPr>
          <w:rFonts w:asciiTheme="minorHAnsi" w:hAnsiTheme="minorHAnsi"/>
          <w:sz w:val="24"/>
          <w:szCs w:val="24"/>
          <w:lang w:eastAsia="en-US"/>
        </w:rPr>
        <w:t xml:space="preserve">a MiFID II-vel </w:t>
      </w:r>
      <w:r w:rsidRPr="00593944">
        <w:rPr>
          <w:rFonts w:asciiTheme="minorHAnsi" w:hAnsiTheme="minorHAnsi"/>
          <w:sz w:val="24"/>
          <w:szCs w:val="24"/>
          <w:lang w:eastAsia="en-US"/>
        </w:rPr>
        <w:t>kiegé</w:t>
      </w:r>
      <w:r w:rsidR="001C729E">
        <w:rPr>
          <w:rFonts w:asciiTheme="minorHAnsi" w:hAnsiTheme="minorHAnsi"/>
          <w:sz w:val="24"/>
          <w:szCs w:val="24"/>
          <w:lang w:eastAsia="en-US"/>
        </w:rPr>
        <w:t>szül</w:t>
      </w:r>
      <w:r w:rsidRPr="00593944">
        <w:rPr>
          <w:rFonts w:asciiTheme="minorHAnsi" w:hAnsiTheme="minorHAnsi"/>
          <w:sz w:val="24"/>
          <w:szCs w:val="24"/>
          <w:lang w:eastAsia="en-US"/>
        </w:rPr>
        <w:t>, így ez olyan befektetési vállalkozás, amely az ügyfélmegbízások végrehajtásakor saját számlára k</w:t>
      </w:r>
      <w:r w:rsidRPr="00593944">
        <w:rPr>
          <w:rFonts w:asciiTheme="minorHAnsi" w:hAnsiTheme="minorHAnsi"/>
          <w:sz w:val="24"/>
          <w:szCs w:val="24"/>
          <w:lang w:eastAsia="en-US"/>
        </w:rPr>
        <w:t>e</w:t>
      </w:r>
      <w:r w:rsidRPr="00593944">
        <w:rPr>
          <w:rFonts w:asciiTheme="minorHAnsi" w:hAnsiTheme="minorHAnsi"/>
          <w:sz w:val="24"/>
          <w:szCs w:val="24"/>
          <w:lang w:eastAsia="en-US"/>
        </w:rPr>
        <w:t xml:space="preserve">reskedik szervezetten, gyakran, rendszeresen és </w:t>
      </w:r>
      <w:r w:rsidRPr="00593944">
        <w:rPr>
          <w:rFonts w:asciiTheme="minorHAnsi" w:hAnsiTheme="minorHAnsi"/>
          <w:sz w:val="24"/>
          <w:szCs w:val="24"/>
          <w:u w:val="single"/>
          <w:lang w:eastAsia="en-US"/>
        </w:rPr>
        <w:t>jelentős nagyságrendben</w:t>
      </w:r>
      <w:r w:rsidRPr="00593944">
        <w:rPr>
          <w:rFonts w:asciiTheme="minorHAnsi" w:hAnsiTheme="minorHAnsi"/>
          <w:sz w:val="24"/>
          <w:szCs w:val="24"/>
          <w:lang w:eastAsia="en-US"/>
        </w:rPr>
        <w:t xml:space="preserve">, valamely szabályozott piacon, multilaterális kereskedési rendszeren vagy </w:t>
      </w:r>
      <w:r w:rsidRPr="00593944">
        <w:rPr>
          <w:rFonts w:asciiTheme="minorHAnsi" w:hAnsiTheme="minorHAnsi"/>
          <w:sz w:val="24"/>
          <w:szCs w:val="24"/>
          <w:u w:val="single"/>
          <w:lang w:eastAsia="en-US"/>
        </w:rPr>
        <w:t>szervezett kereskedési rendszeren kívül, és multilaterális rendszer működtetése nélkül.</w:t>
      </w:r>
      <w:r w:rsidRPr="00593944">
        <w:rPr>
          <w:rFonts w:asciiTheme="minorHAnsi" w:hAnsiTheme="minorHAnsi"/>
          <w:sz w:val="24"/>
          <w:szCs w:val="24"/>
          <w:lang w:eastAsia="en-US"/>
        </w:rPr>
        <w:t xml:space="preserve"> A definícióban történt változáson kívül a rezsimben történt fontos változás, hogy míg a MiFID I kizárólag minőségi kritériumokat fektetett le, addig a MiFID II egy transzparensebb rendszer kialakítása érdekében mennyiségi kritériumokat is bev</w:t>
      </w:r>
      <w:r w:rsidRPr="00593944">
        <w:rPr>
          <w:rFonts w:asciiTheme="minorHAnsi" w:hAnsiTheme="minorHAnsi"/>
          <w:sz w:val="24"/>
          <w:szCs w:val="24"/>
          <w:lang w:eastAsia="en-US"/>
        </w:rPr>
        <w:t>e</w:t>
      </w:r>
      <w:r w:rsidRPr="00593944">
        <w:rPr>
          <w:rFonts w:asciiTheme="minorHAnsi" w:hAnsiTheme="minorHAnsi"/>
          <w:sz w:val="24"/>
          <w:szCs w:val="24"/>
          <w:lang w:eastAsia="en-US"/>
        </w:rPr>
        <w:t>zet.</w:t>
      </w:r>
      <w:r w:rsidRPr="00593944">
        <w:rPr>
          <w:rFonts w:asciiTheme="minorHAnsi" w:hAnsiTheme="minorHAnsi" w:cs="Times New Roman"/>
          <w:sz w:val="24"/>
          <w:szCs w:val="24"/>
          <w:vertAlign w:val="superscript"/>
          <w:lang w:eastAsia="en-US"/>
        </w:rPr>
        <w:footnoteReference w:id="4"/>
      </w:r>
      <w:r w:rsidRPr="00593944">
        <w:rPr>
          <w:rFonts w:asciiTheme="minorHAnsi" w:hAnsiTheme="minorHAnsi"/>
          <w:sz w:val="24"/>
          <w:szCs w:val="24"/>
          <w:lang w:eastAsia="en-US"/>
        </w:rPr>
        <w:t xml:space="preserve"> Ezen kívül, míg a pénzügyi instrumentumok hatálya a MiFID I-ben a szabályozott piacon k</w:t>
      </w:r>
      <w:r w:rsidRPr="00593944">
        <w:rPr>
          <w:rFonts w:asciiTheme="minorHAnsi" w:hAnsiTheme="minorHAnsi"/>
          <w:sz w:val="24"/>
          <w:szCs w:val="24"/>
          <w:lang w:eastAsia="en-US"/>
        </w:rPr>
        <w:t>e</w:t>
      </w:r>
      <w:r w:rsidRPr="00593944">
        <w:rPr>
          <w:rFonts w:asciiTheme="minorHAnsi" w:hAnsiTheme="minorHAnsi"/>
          <w:sz w:val="24"/>
          <w:szCs w:val="24"/>
          <w:lang w:eastAsia="en-US"/>
        </w:rPr>
        <w:t>reskedett részvényeket fedte le, addig ez a kör a MiFID II-ben bővült azokra a tulajdonviszonyt és nem tulajdonviszont megtestesítő eszközökre, melyekkel szabályozott piacon vagy MTF-en kere</w:t>
      </w:r>
      <w:r w:rsidRPr="00593944">
        <w:rPr>
          <w:rFonts w:asciiTheme="minorHAnsi" w:hAnsiTheme="minorHAnsi"/>
          <w:sz w:val="24"/>
          <w:szCs w:val="24"/>
          <w:lang w:eastAsia="en-US"/>
        </w:rPr>
        <w:t>s</w:t>
      </w:r>
      <w:r w:rsidRPr="00593944">
        <w:rPr>
          <w:rFonts w:asciiTheme="minorHAnsi" w:hAnsiTheme="minorHAnsi"/>
          <w:sz w:val="24"/>
          <w:szCs w:val="24"/>
          <w:lang w:eastAsia="en-US"/>
        </w:rPr>
        <w:t>ked</w:t>
      </w:r>
      <w:r w:rsidR="000D5944">
        <w:rPr>
          <w:rFonts w:asciiTheme="minorHAnsi" w:hAnsiTheme="minorHAnsi"/>
          <w:sz w:val="24"/>
          <w:szCs w:val="24"/>
          <w:lang w:eastAsia="en-US"/>
        </w:rPr>
        <w:t xml:space="preserve">nek. </w:t>
      </w:r>
    </w:p>
    <w:p w:rsidR="00593944" w:rsidRPr="000D5944" w:rsidRDefault="00593944" w:rsidP="00593944">
      <w:pPr>
        <w:pStyle w:val="Listaszerbekezds"/>
        <w:numPr>
          <w:ilvl w:val="0"/>
          <w:numId w:val="12"/>
        </w:numPr>
        <w:tabs>
          <w:tab w:val="left" w:pos="426"/>
        </w:tabs>
        <w:spacing w:after="120"/>
        <w:jc w:val="left"/>
        <w:rPr>
          <w:rFonts w:asciiTheme="minorHAnsi" w:hAnsiTheme="minorHAnsi"/>
          <w:b/>
          <w:i/>
          <w:sz w:val="24"/>
          <w:szCs w:val="24"/>
          <w:lang w:eastAsia="en-US"/>
        </w:rPr>
      </w:pPr>
      <w:r w:rsidRPr="000D5944">
        <w:rPr>
          <w:rFonts w:asciiTheme="minorHAnsi" w:hAnsiTheme="minorHAnsi"/>
          <w:b/>
          <w:i/>
          <w:sz w:val="24"/>
          <w:szCs w:val="24"/>
          <w:lang w:eastAsia="en-US"/>
        </w:rPr>
        <w:t>A MiFIR főbb tartalmi elemei</w:t>
      </w:r>
    </w:p>
    <w:p w:rsidR="00593944" w:rsidRPr="000D5944" w:rsidRDefault="00593944" w:rsidP="00593944">
      <w:pPr>
        <w:tabs>
          <w:tab w:val="left" w:pos="426"/>
        </w:tabs>
        <w:spacing w:after="120"/>
        <w:ind w:left="720"/>
        <w:contextualSpacing/>
        <w:rPr>
          <w:rFonts w:asciiTheme="minorHAnsi" w:hAnsiTheme="minorHAnsi"/>
          <w:b/>
          <w:sz w:val="8"/>
          <w:szCs w:val="24"/>
          <w:lang w:eastAsia="en-US"/>
        </w:rPr>
      </w:pP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4</w:t>
      </w:r>
      <w:r w:rsidR="00593944" w:rsidRPr="00593944">
        <w:rPr>
          <w:rFonts w:asciiTheme="minorHAnsi" w:hAnsiTheme="minorHAnsi"/>
          <w:b/>
          <w:sz w:val="24"/>
          <w:szCs w:val="24"/>
          <w:lang w:eastAsia="en-US"/>
        </w:rPr>
        <w:t>.1. Nyilvánosságra hozatali szabályok</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rendelettel megvalósul a szélesebb körű tran</w:t>
      </w:r>
      <w:r w:rsidR="00795608">
        <w:rPr>
          <w:rFonts w:asciiTheme="minorHAnsi" w:hAnsiTheme="minorHAnsi"/>
          <w:sz w:val="24"/>
          <w:szCs w:val="24"/>
          <w:lang w:eastAsia="en-US"/>
        </w:rPr>
        <w:t>szparencia szabályok bevezetése.</w:t>
      </w:r>
      <w:r w:rsidRPr="00593944">
        <w:rPr>
          <w:rFonts w:asciiTheme="minorHAnsi" w:hAnsiTheme="minorHAnsi"/>
          <w:sz w:val="24"/>
          <w:szCs w:val="24"/>
          <w:lang w:eastAsia="en-US"/>
        </w:rPr>
        <w:t xml:space="preserve"> </w:t>
      </w:r>
      <w:r w:rsidR="00795608">
        <w:rPr>
          <w:rFonts w:asciiTheme="minorHAnsi" w:hAnsiTheme="minorHAnsi"/>
          <w:sz w:val="24"/>
          <w:szCs w:val="24"/>
          <w:lang w:eastAsia="en-US"/>
        </w:rPr>
        <w:t>A</w:t>
      </w:r>
      <w:r w:rsidRPr="00593944">
        <w:rPr>
          <w:rFonts w:asciiTheme="minorHAnsi" w:hAnsiTheme="minorHAnsi"/>
          <w:sz w:val="24"/>
          <w:szCs w:val="24"/>
          <w:lang w:eastAsia="en-US"/>
        </w:rPr>
        <w:t xml:space="preserve"> </w:t>
      </w:r>
      <w:r w:rsidR="00795608">
        <w:rPr>
          <w:rFonts w:asciiTheme="minorHAnsi" w:hAnsiTheme="minorHAnsi"/>
          <w:sz w:val="24"/>
          <w:szCs w:val="24"/>
          <w:lang w:eastAsia="en-US"/>
        </w:rPr>
        <w:t>MiFID I transzparencia követelményei csak a részvényekre vonatkoztak</w:t>
      </w:r>
      <w:r w:rsidRPr="00593944">
        <w:rPr>
          <w:rFonts w:asciiTheme="minorHAnsi" w:hAnsiTheme="minorHAnsi"/>
          <w:sz w:val="24"/>
          <w:szCs w:val="24"/>
          <w:lang w:eastAsia="en-US"/>
        </w:rPr>
        <w:t xml:space="preserve">, </w:t>
      </w:r>
      <w:r w:rsidR="00795608">
        <w:rPr>
          <w:rFonts w:asciiTheme="minorHAnsi" w:hAnsiTheme="minorHAnsi"/>
          <w:sz w:val="24"/>
          <w:szCs w:val="24"/>
          <w:lang w:eastAsia="en-US"/>
        </w:rPr>
        <w:t>a felülvizsgálat azonban rámut</w:t>
      </w:r>
      <w:r w:rsidR="00795608">
        <w:rPr>
          <w:rFonts w:asciiTheme="minorHAnsi" w:hAnsiTheme="minorHAnsi"/>
          <w:sz w:val="24"/>
          <w:szCs w:val="24"/>
          <w:lang w:eastAsia="en-US"/>
        </w:rPr>
        <w:t>a</w:t>
      </w:r>
      <w:r w:rsidR="00795608">
        <w:rPr>
          <w:rFonts w:asciiTheme="minorHAnsi" w:hAnsiTheme="minorHAnsi"/>
          <w:sz w:val="24"/>
          <w:szCs w:val="24"/>
          <w:lang w:eastAsia="en-US"/>
        </w:rPr>
        <w:t xml:space="preserve">tott, hogy a termékek körét e tekintetben bővíteni szükséges, így </w:t>
      </w:r>
      <w:r w:rsidRPr="00593944">
        <w:rPr>
          <w:rFonts w:asciiTheme="minorHAnsi" w:hAnsiTheme="minorHAnsi"/>
          <w:sz w:val="24"/>
          <w:szCs w:val="24"/>
          <w:lang w:eastAsia="en-US"/>
        </w:rPr>
        <w:t xml:space="preserve">a MiFID II </w:t>
      </w:r>
      <w:r w:rsidR="00795608">
        <w:rPr>
          <w:rFonts w:asciiTheme="minorHAnsi" w:hAnsiTheme="minorHAnsi"/>
          <w:sz w:val="24"/>
          <w:szCs w:val="24"/>
          <w:lang w:eastAsia="en-US"/>
        </w:rPr>
        <w:t xml:space="preserve">már </w:t>
      </w:r>
      <w:r w:rsidRPr="00593944">
        <w:rPr>
          <w:rFonts w:asciiTheme="minorHAnsi" w:hAnsiTheme="minorHAnsi"/>
          <w:sz w:val="24"/>
          <w:szCs w:val="24"/>
          <w:lang w:eastAsia="en-US"/>
        </w:rPr>
        <w:t>a tulajdonv</w:t>
      </w:r>
      <w:r w:rsidRPr="00593944">
        <w:rPr>
          <w:rFonts w:asciiTheme="minorHAnsi" w:hAnsiTheme="minorHAnsi"/>
          <w:sz w:val="24"/>
          <w:szCs w:val="24"/>
          <w:lang w:eastAsia="en-US"/>
        </w:rPr>
        <w:t>i</w:t>
      </w:r>
      <w:r w:rsidRPr="00593944">
        <w:rPr>
          <w:rFonts w:asciiTheme="minorHAnsi" w:hAnsiTheme="minorHAnsi"/>
          <w:sz w:val="24"/>
          <w:szCs w:val="24"/>
          <w:lang w:eastAsia="en-US"/>
        </w:rPr>
        <w:t>szonyt és nem tulajdonviszonyt megtestesítő instrumentumok tekintetében és az összes kere</w:t>
      </w:r>
      <w:r w:rsidRPr="00593944">
        <w:rPr>
          <w:rFonts w:asciiTheme="minorHAnsi" w:hAnsiTheme="minorHAnsi"/>
          <w:sz w:val="24"/>
          <w:szCs w:val="24"/>
          <w:lang w:eastAsia="en-US"/>
        </w:rPr>
        <w:t>s</w:t>
      </w:r>
      <w:r w:rsidRPr="00593944">
        <w:rPr>
          <w:rFonts w:asciiTheme="minorHAnsi" w:hAnsiTheme="minorHAnsi"/>
          <w:sz w:val="24"/>
          <w:szCs w:val="24"/>
          <w:lang w:eastAsia="en-US"/>
        </w:rPr>
        <w:t xml:space="preserve">kedési helyszínt érintően fektet le szabályokat.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kereskedés előtti átláthatóság érdekében a kereskedési helyszínt üzemeltető piacműködtető</w:t>
      </w:r>
      <w:r w:rsidRPr="00593944">
        <w:rPr>
          <w:rFonts w:asciiTheme="minorHAnsi" w:hAnsiTheme="minorHAnsi"/>
          <w:sz w:val="24"/>
          <w:szCs w:val="24"/>
          <w:lang w:eastAsia="en-US"/>
        </w:rPr>
        <w:t>k</w:t>
      </w:r>
      <w:r w:rsidRPr="00593944">
        <w:rPr>
          <w:rFonts w:asciiTheme="minorHAnsi" w:hAnsiTheme="minorHAnsi"/>
          <w:sz w:val="24"/>
          <w:szCs w:val="24"/>
          <w:lang w:eastAsia="en-US"/>
        </w:rPr>
        <w:t>nek és befektetési vállalkozásoknak nyilvánosságra kell hozniuk a tulajdonviszonyt</w:t>
      </w:r>
      <w:r w:rsidRPr="00593944">
        <w:rPr>
          <w:rFonts w:asciiTheme="minorHAnsi" w:hAnsiTheme="minorHAnsi" w:cs="Times New Roman"/>
          <w:sz w:val="24"/>
          <w:szCs w:val="24"/>
          <w:vertAlign w:val="superscript"/>
          <w:lang w:eastAsia="en-US"/>
        </w:rPr>
        <w:footnoteReference w:id="5"/>
      </w:r>
      <w:r w:rsidRPr="00593944">
        <w:rPr>
          <w:rFonts w:asciiTheme="minorHAnsi" w:hAnsiTheme="minorHAnsi"/>
          <w:sz w:val="24"/>
          <w:szCs w:val="24"/>
          <w:lang w:eastAsia="en-US"/>
        </w:rPr>
        <w:t xml:space="preserve"> és nem tula</w:t>
      </w:r>
      <w:r w:rsidRPr="00593944">
        <w:rPr>
          <w:rFonts w:asciiTheme="minorHAnsi" w:hAnsiTheme="minorHAnsi"/>
          <w:sz w:val="24"/>
          <w:szCs w:val="24"/>
          <w:lang w:eastAsia="en-US"/>
        </w:rPr>
        <w:t>j</w:t>
      </w:r>
      <w:r w:rsidRPr="00593944">
        <w:rPr>
          <w:rFonts w:asciiTheme="minorHAnsi" w:hAnsiTheme="minorHAnsi"/>
          <w:sz w:val="24"/>
          <w:szCs w:val="24"/>
          <w:lang w:eastAsia="en-US"/>
        </w:rPr>
        <w:t xml:space="preserve">donviszonyt megtestesítő eszközökre vonatkozó meghirdetett mindenkori vételi és eladási árakat és az ezen árak mellett fennálló kereskedési szándékok mértékét. Emellett a kereskedés utáni </w:t>
      </w:r>
      <w:r w:rsidRPr="00593944">
        <w:rPr>
          <w:rFonts w:asciiTheme="minorHAnsi" w:hAnsiTheme="minorHAnsi"/>
          <w:sz w:val="24"/>
          <w:szCs w:val="24"/>
          <w:lang w:eastAsia="en-US"/>
        </w:rPr>
        <w:lastRenderedPageBreak/>
        <w:t>átláthatóság biztosítása céljából szükséges a teljesített ügyletek árának, volumenének és időpon</w:t>
      </w:r>
      <w:r w:rsidRPr="00593944">
        <w:rPr>
          <w:rFonts w:asciiTheme="minorHAnsi" w:hAnsiTheme="minorHAnsi"/>
          <w:sz w:val="24"/>
          <w:szCs w:val="24"/>
          <w:lang w:eastAsia="en-US"/>
        </w:rPr>
        <w:t>t</w:t>
      </w:r>
      <w:r w:rsidRPr="00593944">
        <w:rPr>
          <w:rFonts w:asciiTheme="minorHAnsi" w:hAnsiTheme="minorHAnsi"/>
          <w:sz w:val="24"/>
          <w:szCs w:val="24"/>
          <w:lang w:eastAsia="en-US"/>
        </w:rPr>
        <w:t xml:space="preserve">jának nyilvánosságra hozatala is. </w:t>
      </w:r>
    </w:p>
    <w:p w:rsidR="00795608" w:rsidRPr="00593944" w:rsidRDefault="00593944" w:rsidP="00593944">
      <w:pPr>
        <w:tabs>
          <w:tab w:val="left" w:pos="426"/>
        </w:tabs>
        <w:spacing w:after="120"/>
        <w:rPr>
          <w:rFonts w:asciiTheme="minorHAnsi" w:hAnsiTheme="minorHAnsi"/>
          <w:sz w:val="24"/>
          <w:szCs w:val="24"/>
          <w:lang w:eastAsia="en-US"/>
        </w:rPr>
      </w:pPr>
      <w:r>
        <w:rPr>
          <w:rFonts w:asciiTheme="minorHAnsi" w:hAnsiTheme="minorHAnsi"/>
          <w:sz w:val="24"/>
          <w:szCs w:val="24"/>
          <w:lang w:eastAsia="en-US"/>
        </w:rPr>
        <w:t xml:space="preserve">Ezen kívül, a </w:t>
      </w:r>
      <w:proofErr w:type="gramStart"/>
      <w:r>
        <w:rPr>
          <w:rFonts w:asciiTheme="minorHAnsi" w:hAnsiTheme="minorHAnsi"/>
          <w:sz w:val="24"/>
          <w:szCs w:val="24"/>
          <w:lang w:eastAsia="en-US"/>
        </w:rPr>
        <w:t xml:space="preserve">rendelet </w:t>
      </w:r>
      <w:r w:rsidRPr="00593944">
        <w:rPr>
          <w:rFonts w:asciiTheme="minorHAnsi" w:hAnsiTheme="minorHAnsi"/>
          <w:sz w:val="24"/>
          <w:szCs w:val="24"/>
          <w:lang w:eastAsia="en-US"/>
        </w:rPr>
        <w:t>kereskedés</w:t>
      </w:r>
      <w:proofErr w:type="gramEnd"/>
      <w:r w:rsidRPr="00593944">
        <w:rPr>
          <w:rFonts w:asciiTheme="minorHAnsi" w:hAnsiTheme="minorHAnsi"/>
          <w:sz w:val="24"/>
          <w:szCs w:val="24"/>
          <w:lang w:eastAsia="en-US"/>
        </w:rPr>
        <w:t xml:space="preserve"> előtti és utáni közzétételi kötelezettséget ír elő a rendszeres internalizálók és a tőzsdén kívül kereskedő befektetési vállalkozások számára. </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4</w:t>
      </w:r>
      <w:r w:rsidR="00593944" w:rsidRPr="00593944">
        <w:rPr>
          <w:rFonts w:asciiTheme="minorHAnsi" w:hAnsiTheme="minorHAnsi"/>
          <w:b/>
          <w:sz w:val="24"/>
          <w:szCs w:val="24"/>
          <w:lang w:eastAsia="en-US"/>
        </w:rPr>
        <w:t>.2. Ügyletjelentések</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befektetési vállalkozásnak egyrészt öt éven át meg kell őriznie az illetékes hatóság számára a pénzügyi eszközökkel kapcsolatos valamennyi megbízásra és lebonyolított ügyletre vonatkozó lényeges adatokat (függetlenül attól, hogy saját számlára vagy ügyfél nevében kereskedett-e), másrészt a pénzügyi eszközökkel ügyleteket teljesítő vállalkozásoknak az ügyletek adatairól jele</w:t>
      </w:r>
      <w:r w:rsidRPr="00593944">
        <w:rPr>
          <w:rFonts w:asciiTheme="minorHAnsi" w:hAnsiTheme="minorHAnsi"/>
          <w:sz w:val="24"/>
          <w:szCs w:val="24"/>
          <w:lang w:eastAsia="en-US"/>
        </w:rPr>
        <w:t>n</w:t>
      </w:r>
      <w:r w:rsidRPr="00593944">
        <w:rPr>
          <w:rFonts w:asciiTheme="minorHAnsi" w:hAnsiTheme="minorHAnsi"/>
          <w:sz w:val="24"/>
          <w:szCs w:val="24"/>
          <w:lang w:eastAsia="en-US"/>
        </w:rPr>
        <w:t xml:space="preserve">tést kell tenniük az illetékes hatóság felé. </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4</w:t>
      </w:r>
      <w:r w:rsidR="00593944" w:rsidRPr="00593944">
        <w:rPr>
          <w:rFonts w:asciiTheme="minorHAnsi" w:hAnsiTheme="minorHAnsi"/>
          <w:b/>
          <w:sz w:val="24"/>
          <w:szCs w:val="24"/>
          <w:lang w:eastAsia="en-US"/>
        </w:rPr>
        <w:t>.3. Származtatott termékek</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kereskedési kötelezettség hatálya alá tartozó származtatott ügyletek kizárólag szabályozott piacokon, MTF-eken, OTF-eken, illetve megfelelő egyenértékűség esetén harmadik országok k</w:t>
      </w:r>
      <w:r w:rsidRPr="00593944">
        <w:rPr>
          <w:rFonts w:asciiTheme="minorHAnsi" w:hAnsiTheme="minorHAnsi"/>
          <w:sz w:val="24"/>
          <w:szCs w:val="24"/>
          <w:lang w:eastAsia="en-US"/>
        </w:rPr>
        <w:t>e</w:t>
      </w:r>
      <w:r w:rsidRPr="00593944">
        <w:rPr>
          <w:rFonts w:asciiTheme="minorHAnsi" w:hAnsiTheme="minorHAnsi"/>
          <w:sz w:val="24"/>
          <w:szCs w:val="24"/>
          <w:lang w:eastAsia="en-US"/>
        </w:rPr>
        <w:t>reskedési helyszínein köthetők meg. Ezen kívül, a rendelet kimondja, hogy a szabályozott piac</w:t>
      </w:r>
      <w:r w:rsidRPr="00593944">
        <w:rPr>
          <w:rFonts w:asciiTheme="minorHAnsi" w:hAnsiTheme="minorHAnsi"/>
          <w:sz w:val="24"/>
          <w:szCs w:val="24"/>
          <w:lang w:eastAsia="en-US"/>
        </w:rPr>
        <w:t>o</w:t>
      </w:r>
      <w:r w:rsidRPr="00593944">
        <w:rPr>
          <w:rFonts w:asciiTheme="minorHAnsi" w:hAnsiTheme="minorHAnsi"/>
          <w:sz w:val="24"/>
          <w:szCs w:val="24"/>
          <w:lang w:eastAsia="en-US"/>
        </w:rPr>
        <w:t>kon kereskedett származtatott termékekre vonatkozóan az ügylet elszámolását CCP-nek kell e</w:t>
      </w:r>
      <w:r w:rsidRPr="00593944">
        <w:rPr>
          <w:rFonts w:asciiTheme="minorHAnsi" w:hAnsiTheme="minorHAnsi"/>
          <w:sz w:val="24"/>
          <w:szCs w:val="24"/>
          <w:lang w:eastAsia="en-US"/>
        </w:rPr>
        <w:t>l</w:t>
      </w:r>
      <w:r w:rsidRPr="00593944">
        <w:rPr>
          <w:rFonts w:asciiTheme="minorHAnsi" w:hAnsiTheme="minorHAnsi"/>
          <w:sz w:val="24"/>
          <w:szCs w:val="24"/>
          <w:lang w:eastAsia="en-US"/>
        </w:rPr>
        <w:t>végeznie.</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4</w:t>
      </w:r>
      <w:r w:rsidR="00593944" w:rsidRPr="00593944">
        <w:rPr>
          <w:rFonts w:asciiTheme="minorHAnsi" w:hAnsiTheme="minorHAnsi"/>
          <w:b/>
          <w:sz w:val="24"/>
          <w:szCs w:val="24"/>
          <w:lang w:eastAsia="en-US"/>
        </w:rPr>
        <w:t>.4. A központi szerződő felekhez (CCP) és kereskedési helyszínekhez való megkülönböztetésmentes hozzáférés</w:t>
      </w:r>
    </w:p>
    <w:p w:rsidR="00593944" w:rsidRPr="00593944" w:rsidRDefault="004C1AFA" w:rsidP="00593944">
      <w:pPr>
        <w:tabs>
          <w:tab w:val="left" w:pos="426"/>
        </w:tabs>
        <w:spacing w:after="120"/>
        <w:rPr>
          <w:rFonts w:asciiTheme="minorHAnsi" w:hAnsiTheme="minorHAnsi"/>
          <w:sz w:val="24"/>
          <w:szCs w:val="24"/>
          <w:lang w:eastAsia="en-US"/>
        </w:rPr>
      </w:pPr>
      <w:r>
        <w:rPr>
          <w:rFonts w:asciiTheme="minorHAnsi" w:hAnsiTheme="minorHAnsi"/>
          <w:b/>
          <w:sz w:val="24"/>
          <w:szCs w:val="24"/>
          <w:lang w:eastAsia="en-US"/>
        </w:rPr>
        <w:t>4</w:t>
      </w:r>
      <w:r w:rsidR="00593944" w:rsidRPr="00593944">
        <w:rPr>
          <w:rFonts w:asciiTheme="minorHAnsi" w:hAnsiTheme="minorHAnsi"/>
          <w:b/>
          <w:sz w:val="24"/>
          <w:szCs w:val="24"/>
          <w:lang w:eastAsia="en-US"/>
        </w:rPr>
        <w:t>.4.1.</w:t>
      </w:r>
      <w:r w:rsidR="00593944" w:rsidRPr="00593944">
        <w:rPr>
          <w:rFonts w:asciiTheme="minorHAnsi" w:hAnsiTheme="minorHAnsi"/>
          <w:sz w:val="24"/>
          <w:szCs w:val="24"/>
          <w:lang w:eastAsia="en-US"/>
        </w:rPr>
        <w:t xml:space="preserve"> A CCP köteles a pénzügyi eszközöket megkülönböztetésmentes</w:t>
      </w:r>
      <w:r w:rsidR="00593944" w:rsidRPr="00593944">
        <w:rPr>
          <w:rFonts w:asciiTheme="minorHAnsi" w:hAnsiTheme="minorHAnsi" w:cs="Times New Roman"/>
          <w:sz w:val="24"/>
          <w:szCs w:val="24"/>
          <w:vertAlign w:val="superscript"/>
          <w:lang w:eastAsia="en-US"/>
        </w:rPr>
        <w:footnoteReference w:id="6"/>
      </w:r>
      <w:r w:rsidR="00593944" w:rsidRPr="00593944">
        <w:rPr>
          <w:rFonts w:asciiTheme="minorHAnsi" w:hAnsiTheme="minorHAnsi"/>
          <w:sz w:val="24"/>
          <w:szCs w:val="24"/>
          <w:lang w:eastAsia="en-US"/>
        </w:rPr>
        <w:t xml:space="preserve"> és átlátható alapon elsz</w:t>
      </w:r>
      <w:r w:rsidR="00593944" w:rsidRPr="00593944">
        <w:rPr>
          <w:rFonts w:asciiTheme="minorHAnsi" w:hAnsiTheme="minorHAnsi"/>
          <w:sz w:val="24"/>
          <w:szCs w:val="24"/>
          <w:lang w:eastAsia="en-US"/>
        </w:rPr>
        <w:t>á</w:t>
      </w:r>
      <w:r w:rsidR="00593944" w:rsidRPr="00593944">
        <w:rPr>
          <w:rFonts w:asciiTheme="minorHAnsi" w:hAnsiTheme="minorHAnsi"/>
          <w:sz w:val="24"/>
          <w:szCs w:val="24"/>
          <w:lang w:eastAsia="en-US"/>
        </w:rPr>
        <w:t>molásra befogadni, tekintet nélkül arra, hogy az ügyletet mely kereskedési helyszínen teljesíte</w:t>
      </w:r>
      <w:r w:rsidR="00593944" w:rsidRPr="00593944">
        <w:rPr>
          <w:rFonts w:asciiTheme="minorHAnsi" w:hAnsiTheme="minorHAnsi"/>
          <w:sz w:val="24"/>
          <w:szCs w:val="24"/>
          <w:lang w:eastAsia="en-US"/>
        </w:rPr>
        <w:t>t</w:t>
      </w:r>
      <w:r w:rsidR="00593944" w:rsidRPr="00593944">
        <w:rPr>
          <w:rFonts w:asciiTheme="minorHAnsi" w:hAnsiTheme="minorHAnsi"/>
          <w:sz w:val="24"/>
          <w:szCs w:val="24"/>
          <w:lang w:eastAsia="en-US"/>
        </w:rPr>
        <w:t>ték. Fontos azonban megjegyezni, hogy a CCP megkövetelheti, hogy a kereskedési helyszín me</w:t>
      </w:r>
      <w:r w:rsidR="00593944" w:rsidRPr="00593944">
        <w:rPr>
          <w:rFonts w:asciiTheme="minorHAnsi" w:hAnsiTheme="minorHAnsi"/>
          <w:sz w:val="24"/>
          <w:szCs w:val="24"/>
          <w:lang w:eastAsia="en-US"/>
        </w:rPr>
        <w:t>g</w:t>
      </w:r>
      <w:r w:rsidR="00593944" w:rsidRPr="00593944">
        <w:rPr>
          <w:rFonts w:asciiTheme="minorHAnsi" w:hAnsiTheme="minorHAnsi"/>
          <w:sz w:val="24"/>
          <w:szCs w:val="24"/>
          <w:lang w:eastAsia="en-US"/>
        </w:rPr>
        <w:t>feleljen a CCP által megállapított működési és technikai előírásoknak. Ezen kívül, az illetékes h</w:t>
      </w:r>
      <w:r w:rsidR="00593944" w:rsidRPr="00593944">
        <w:rPr>
          <w:rFonts w:asciiTheme="minorHAnsi" w:hAnsiTheme="minorHAnsi"/>
          <w:sz w:val="24"/>
          <w:szCs w:val="24"/>
          <w:lang w:eastAsia="en-US"/>
        </w:rPr>
        <w:t>a</w:t>
      </w:r>
      <w:r w:rsidR="00593944" w:rsidRPr="00593944">
        <w:rPr>
          <w:rFonts w:asciiTheme="minorHAnsi" w:hAnsiTheme="minorHAnsi"/>
          <w:sz w:val="24"/>
          <w:szCs w:val="24"/>
          <w:lang w:eastAsia="en-US"/>
        </w:rPr>
        <w:t>tóságnak csak akkor kell engedélyeznie a kereskedési helyszín számára a CCP-hez való hozzáf</w:t>
      </w:r>
      <w:r w:rsidR="00593944" w:rsidRPr="00593944">
        <w:rPr>
          <w:rFonts w:asciiTheme="minorHAnsi" w:hAnsiTheme="minorHAnsi"/>
          <w:sz w:val="24"/>
          <w:szCs w:val="24"/>
          <w:lang w:eastAsia="en-US"/>
        </w:rPr>
        <w:t>é</w:t>
      </w:r>
      <w:r w:rsidR="00593944" w:rsidRPr="00593944">
        <w:rPr>
          <w:rFonts w:asciiTheme="minorHAnsi" w:hAnsiTheme="minorHAnsi"/>
          <w:sz w:val="24"/>
          <w:szCs w:val="24"/>
          <w:lang w:eastAsia="en-US"/>
        </w:rPr>
        <w:t>rést, ha bizonyos származtatott ügyletekkel kapcsolatos esetekben az interoperabilitási megáll</w:t>
      </w:r>
      <w:r w:rsidR="00593944" w:rsidRPr="00593944">
        <w:rPr>
          <w:rFonts w:asciiTheme="minorHAnsi" w:hAnsiTheme="minorHAnsi"/>
          <w:sz w:val="24"/>
          <w:szCs w:val="24"/>
          <w:lang w:eastAsia="en-US"/>
        </w:rPr>
        <w:t>a</w:t>
      </w:r>
      <w:r w:rsidR="00593944" w:rsidRPr="00593944">
        <w:rPr>
          <w:rFonts w:asciiTheme="minorHAnsi" w:hAnsiTheme="minorHAnsi"/>
          <w:sz w:val="24"/>
          <w:szCs w:val="24"/>
          <w:lang w:eastAsia="en-US"/>
        </w:rPr>
        <w:t>podás alkalmazása nem szükséges, valamint a hozzáférés megadása nem veszélyezteti a piacok zavartalan és szabályos működését.</w:t>
      </w:r>
    </w:p>
    <w:p w:rsidR="00593944" w:rsidRPr="00593944" w:rsidRDefault="004C1AFA" w:rsidP="00593944">
      <w:pPr>
        <w:tabs>
          <w:tab w:val="left" w:pos="426"/>
        </w:tabs>
        <w:spacing w:after="120"/>
        <w:rPr>
          <w:rFonts w:asciiTheme="minorHAnsi" w:hAnsiTheme="minorHAnsi"/>
          <w:sz w:val="24"/>
          <w:szCs w:val="24"/>
          <w:lang w:eastAsia="en-US"/>
        </w:rPr>
      </w:pPr>
      <w:r>
        <w:rPr>
          <w:rFonts w:asciiTheme="minorHAnsi" w:hAnsiTheme="minorHAnsi"/>
          <w:b/>
          <w:sz w:val="24"/>
          <w:szCs w:val="24"/>
          <w:lang w:eastAsia="en-US"/>
        </w:rPr>
        <w:t>4</w:t>
      </w:r>
      <w:r w:rsidR="00593944" w:rsidRPr="00593944">
        <w:rPr>
          <w:rFonts w:asciiTheme="minorHAnsi" w:hAnsiTheme="minorHAnsi"/>
          <w:b/>
          <w:sz w:val="24"/>
          <w:szCs w:val="24"/>
          <w:lang w:eastAsia="en-US"/>
        </w:rPr>
        <w:t xml:space="preserve">.4.2. </w:t>
      </w:r>
      <w:r w:rsidR="00117A31">
        <w:rPr>
          <w:rFonts w:asciiTheme="minorHAnsi" w:hAnsiTheme="minorHAnsi"/>
          <w:sz w:val="24"/>
          <w:szCs w:val="24"/>
          <w:lang w:eastAsia="en-US"/>
        </w:rPr>
        <w:t xml:space="preserve">Az előző </w:t>
      </w:r>
      <w:r w:rsidR="00593944" w:rsidRPr="00593944">
        <w:rPr>
          <w:rFonts w:asciiTheme="minorHAnsi" w:hAnsiTheme="minorHAnsi"/>
          <w:sz w:val="24"/>
          <w:szCs w:val="24"/>
          <w:lang w:eastAsia="en-US"/>
        </w:rPr>
        <w:t>pontban említett logikát követve, a kereskedési helyszínnek megkülönböztetésmentes és átlátható módon továbbítania kell a kereskedési adatfolyamokat kérés esetén minden olyan CCP számára, amely az adott kereskedési helyszínen pénzügyi eszk</w:t>
      </w:r>
      <w:r w:rsidR="00593944" w:rsidRPr="00593944">
        <w:rPr>
          <w:rFonts w:asciiTheme="minorHAnsi" w:hAnsiTheme="minorHAnsi"/>
          <w:sz w:val="24"/>
          <w:szCs w:val="24"/>
          <w:lang w:eastAsia="en-US"/>
        </w:rPr>
        <w:t>ö</w:t>
      </w:r>
      <w:r w:rsidR="00593944" w:rsidRPr="00593944">
        <w:rPr>
          <w:rFonts w:asciiTheme="minorHAnsi" w:hAnsiTheme="minorHAnsi"/>
          <w:sz w:val="24"/>
          <w:szCs w:val="24"/>
          <w:lang w:eastAsia="en-US"/>
        </w:rPr>
        <w:t>zökkel végzett ügyleteket kíván elszámolni.</w:t>
      </w:r>
    </w:p>
    <w:p w:rsidR="00593944" w:rsidRPr="00593944" w:rsidRDefault="004C1AFA" w:rsidP="00593944">
      <w:pPr>
        <w:tabs>
          <w:tab w:val="left" w:pos="426"/>
        </w:tabs>
        <w:spacing w:after="120"/>
        <w:rPr>
          <w:rFonts w:asciiTheme="minorHAnsi" w:hAnsiTheme="minorHAnsi"/>
          <w:b/>
          <w:sz w:val="24"/>
          <w:szCs w:val="24"/>
          <w:lang w:eastAsia="en-US"/>
        </w:rPr>
      </w:pPr>
      <w:r>
        <w:rPr>
          <w:rFonts w:asciiTheme="minorHAnsi" w:hAnsiTheme="minorHAnsi"/>
          <w:b/>
          <w:sz w:val="24"/>
          <w:szCs w:val="24"/>
          <w:lang w:eastAsia="en-US"/>
        </w:rPr>
        <w:t>4</w:t>
      </w:r>
      <w:r w:rsidR="00593944" w:rsidRPr="00593944">
        <w:rPr>
          <w:rFonts w:asciiTheme="minorHAnsi" w:hAnsiTheme="minorHAnsi"/>
          <w:b/>
          <w:sz w:val="24"/>
          <w:szCs w:val="24"/>
          <w:lang w:eastAsia="en-US"/>
        </w:rPr>
        <w:t xml:space="preserve">.5. Termékintervenciós hatáskörök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MiFIR új rendelkezéseket fogalmaz meg a piacmonitoring és termékszintű beavatkozás tekint</w:t>
      </w:r>
      <w:r w:rsidRPr="00593944">
        <w:rPr>
          <w:rFonts w:asciiTheme="minorHAnsi" w:hAnsiTheme="minorHAnsi"/>
          <w:sz w:val="24"/>
          <w:szCs w:val="24"/>
          <w:lang w:eastAsia="en-US"/>
        </w:rPr>
        <w:t>e</w:t>
      </w:r>
      <w:r w:rsidRPr="00593944">
        <w:rPr>
          <w:rFonts w:asciiTheme="minorHAnsi" w:hAnsiTheme="minorHAnsi"/>
          <w:sz w:val="24"/>
          <w:szCs w:val="24"/>
          <w:lang w:eastAsia="en-US"/>
        </w:rPr>
        <w:t xml:space="preserve">tében. Az Unióban forgalomba hozott, forgalmazott vagy értékesített pénzügyi eszközöket az </w:t>
      </w:r>
      <w:r w:rsidRPr="00593944">
        <w:rPr>
          <w:rFonts w:asciiTheme="minorHAnsi" w:hAnsiTheme="minorHAnsi"/>
          <w:sz w:val="24"/>
          <w:szCs w:val="24"/>
          <w:lang w:eastAsia="en-US"/>
        </w:rPr>
        <w:lastRenderedPageBreak/>
        <w:t xml:space="preserve">ESMA-nak, a strukturált betéteket az EBA-nak </w:t>
      </w:r>
      <w:r w:rsidR="00AF0446">
        <w:rPr>
          <w:rFonts w:asciiTheme="minorHAnsi" w:hAnsiTheme="minorHAnsi"/>
          <w:sz w:val="24"/>
          <w:szCs w:val="24"/>
          <w:lang w:eastAsia="en-US"/>
        </w:rPr>
        <w:t>(</w:t>
      </w:r>
      <w:r w:rsidR="00AF0446" w:rsidRPr="00CF59A4">
        <w:rPr>
          <w:rFonts w:asciiTheme="minorHAnsi" w:hAnsiTheme="minorHAnsi"/>
          <w:i/>
          <w:sz w:val="24"/>
          <w:szCs w:val="24"/>
          <w:lang w:eastAsia="en-US"/>
        </w:rPr>
        <w:t>European Banking Authority</w:t>
      </w:r>
      <w:r w:rsidR="00AF0446">
        <w:rPr>
          <w:rFonts w:asciiTheme="minorHAnsi" w:hAnsiTheme="minorHAnsi"/>
          <w:sz w:val="24"/>
          <w:szCs w:val="24"/>
          <w:lang w:eastAsia="en-US"/>
        </w:rPr>
        <w:t xml:space="preserve">) </w:t>
      </w:r>
      <w:r w:rsidRPr="00593944">
        <w:rPr>
          <w:rFonts w:asciiTheme="minorHAnsi" w:hAnsiTheme="minorHAnsi"/>
          <w:sz w:val="24"/>
          <w:szCs w:val="24"/>
          <w:lang w:eastAsia="en-US"/>
        </w:rPr>
        <w:t xml:space="preserve">szükséges nyomon követnie, míg az illetékes hatóságok az adott tagállamban piacra bocsátott, forgalomba hozott vagy értékesített pénzügyi eszközök és strukturált betétek piacát egyaránt figyelik.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termékintervenciós hatáskörrel ezek a hatóságok pénzügyi tevékenységeket korlátozhatnak vagy tilthatnak meg, amennyiben ezt a befektetővédelmi szempontok indokolják, a vonatkozó EU-s szabályozás nem kezeli megfelelően a problémákat, valamint az illetékes hatóság által me</w:t>
      </w:r>
      <w:r w:rsidRPr="00593944">
        <w:rPr>
          <w:rFonts w:asciiTheme="minorHAnsi" w:hAnsiTheme="minorHAnsi"/>
          <w:sz w:val="24"/>
          <w:szCs w:val="24"/>
          <w:lang w:eastAsia="en-US"/>
        </w:rPr>
        <w:t>g</w:t>
      </w:r>
      <w:r w:rsidRPr="00593944">
        <w:rPr>
          <w:rFonts w:asciiTheme="minorHAnsi" w:hAnsiTheme="minorHAnsi"/>
          <w:sz w:val="24"/>
          <w:szCs w:val="24"/>
          <w:lang w:eastAsia="en-US"/>
        </w:rPr>
        <w:t xml:space="preserve">tett lépések sem elegendőek a kockázatok kezelésére. Az illetékes hatóságoknak minden esetben értesíteniük kell az ESMA-t </w:t>
      </w:r>
      <w:r w:rsidR="00793C10" w:rsidRPr="00593944">
        <w:rPr>
          <w:rFonts w:asciiTheme="minorHAnsi" w:hAnsiTheme="minorHAnsi"/>
          <w:sz w:val="24"/>
          <w:szCs w:val="24"/>
          <w:lang w:eastAsia="en-US"/>
        </w:rPr>
        <w:t>–</w:t>
      </w:r>
      <w:r w:rsidRPr="00593944">
        <w:rPr>
          <w:rFonts w:asciiTheme="minorHAnsi" w:hAnsiTheme="minorHAnsi"/>
          <w:sz w:val="24"/>
          <w:szCs w:val="24"/>
          <w:lang w:eastAsia="en-US"/>
        </w:rPr>
        <w:t xml:space="preserve"> illetve strukturált betétek esetében az EBA-t </w:t>
      </w:r>
      <w:r w:rsidR="00793C10" w:rsidRPr="00593944">
        <w:rPr>
          <w:rFonts w:asciiTheme="minorHAnsi" w:hAnsiTheme="minorHAnsi"/>
          <w:sz w:val="24"/>
          <w:szCs w:val="24"/>
          <w:lang w:eastAsia="en-US"/>
        </w:rPr>
        <w:t>–</w:t>
      </w:r>
      <w:r w:rsidRPr="00593944">
        <w:rPr>
          <w:rFonts w:asciiTheme="minorHAnsi" w:hAnsiTheme="minorHAnsi"/>
          <w:sz w:val="24"/>
          <w:szCs w:val="24"/>
          <w:lang w:eastAsia="en-US"/>
        </w:rPr>
        <w:t xml:space="preserve"> ezen hatáskörük a</w:t>
      </w:r>
      <w:r w:rsidRPr="00593944">
        <w:rPr>
          <w:rFonts w:asciiTheme="minorHAnsi" w:hAnsiTheme="minorHAnsi"/>
          <w:sz w:val="24"/>
          <w:szCs w:val="24"/>
          <w:lang w:eastAsia="en-US"/>
        </w:rPr>
        <w:t>l</w:t>
      </w:r>
      <w:r w:rsidRPr="00593944">
        <w:rPr>
          <w:rFonts w:asciiTheme="minorHAnsi" w:hAnsiTheme="minorHAnsi"/>
          <w:sz w:val="24"/>
          <w:szCs w:val="24"/>
          <w:lang w:eastAsia="en-US"/>
        </w:rPr>
        <w:t xml:space="preserve">kalmazásáról, aki véleményt fogad el az intézkedés megfelelőségéről, arányosságáról. </w:t>
      </w:r>
    </w:p>
    <w:p w:rsidR="00593944" w:rsidRP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 xml:space="preserve">Eddig a MiFID nem tartalmazott egy uniós szinten egységes, termékintervenciós hatásköröket meghatározó </w:t>
      </w:r>
      <w:r w:rsidR="001C729E">
        <w:rPr>
          <w:rFonts w:asciiTheme="minorHAnsi" w:hAnsiTheme="minorHAnsi"/>
          <w:sz w:val="24"/>
          <w:szCs w:val="24"/>
          <w:lang w:eastAsia="en-US"/>
        </w:rPr>
        <w:t xml:space="preserve">szabályrendszert, a </w:t>
      </w:r>
      <w:r w:rsidRPr="00593944">
        <w:rPr>
          <w:rFonts w:asciiTheme="minorHAnsi" w:hAnsiTheme="minorHAnsi"/>
          <w:sz w:val="24"/>
          <w:szCs w:val="24"/>
          <w:lang w:eastAsia="en-US"/>
        </w:rPr>
        <w:t xml:space="preserve">tagállamok különböző intézkedési lehetőségekkel rendelkeztek. A brit felügyeleti szerv </w:t>
      </w:r>
      <w:r w:rsidRPr="00593944">
        <w:rPr>
          <w:rFonts w:asciiTheme="minorHAnsi" w:hAnsiTheme="minorHAnsi"/>
          <w:i/>
          <w:sz w:val="24"/>
          <w:szCs w:val="24"/>
          <w:lang w:eastAsia="en-US"/>
        </w:rPr>
        <w:t>(Financial Conduct Authority)</w:t>
      </w:r>
      <w:r w:rsidRPr="00593944">
        <w:rPr>
          <w:rFonts w:asciiTheme="minorHAnsi" w:hAnsiTheme="minorHAnsi"/>
          <w:sz w:val="24"/>
          <w:szCs w:val="24"/>
          <w:lang w:eastAsia="en-US"/>
        </w:rPr>
        <w:t xml:space="preserve"> például 2014 októberétől léptetett életbe termékintervenciós szabályokat, korlátozásokat bevezetve a speciális esetben átváltható kötv</w:t>
      </w:r>
      <w:r w:rsidRPr="00593944">
        <w:rPr>
          <w:rFonts w:asciiTheme="minorHAnsi" w:hAnsiTheme="minorHAnsi"/>
          <w:sz w:val="24"/>
          <w:szCs w:val="24"/>
          <w:lang w:eastAsia="en-US"/>
        </w:rPr>
        <w:t>é</w:t>
      </w:r>
      <w:r w:rsidRPr="00593944">
        <w:rPr>
          <w:rFonts w:asciiTheme="minorHAnsi" w:hAnsiTheme="minorHAnsi"/>
          <w:sz w:val="24"/>
          <w:szCs w:val="24"/>
          <w:lang w:eastAsia="en-US"/>
        </w:rPr>
        <w:t>nyek (CoCo-k) lakossági befektetők részére történő forgalmazása tekintetében azzal a céllal, hogy 2015. októberig egyeztessenek az egyes kibocsátókkal és ez alapján körvonalazódjon a megfelelő befektető</w:t>
      </w:r>
      <w:r w:rsidR="001C729E">
        <w:rPr>
          <w:rFonts w:asciiTheme="minorHAnsi" w:hAnsiTheme="minorHAnsi"/>
          <w:sz w:val="24"/>
          <w:szCs w:val="24"/>
          <w:lang w:eastAsia="en-US"/>
        </w:rPr>
        <w:t>i</w:t>
      </w:r>
      <w:r w:rsidRPr="00593944">
        <w:rPr>
          <w:rFonts w:asciiTheme="minorHAnsi" w:hAnsiTheme="minorHAnsi"/>
          <w:sz w:val="24"/>
          <w:szCs w:val="24"/>
          <w:lang w:eastAsia="en-US"/>
        </w:rPr>
        <w:t xml:space="preserve"> kör. </w:t>
      </w:r>
    </w:p>
    <w:p w:rsidR="00593944" w:rsidRDefault="00593944" w:rsidP="00593944">
      <w:pPr>
        <w:tabs>
          <w:tab w:val="left" w:pos="426"/>
        </w:tabs>
        <w:spacing w:after="120"/>
        <w:rPr>
          <w:rFonts w:asciiTheme="minorHAnsi" w:hAnsiTheme="minorHAnsi"/>
          <w:sz w:val="24"/>
          <w:szCs w:val="24"/>
          <w:lang w:eastAsia="en-US"/>
        </w:rPr>
      </w:pPr>
      <w:r w:rsidRPr="00593944">
        <w:rPr>
          <w:rFonts w:asciiTheme="minorHAnsi" w:hAnsiTheme="minorHAnsi"/>
          <w:sz w:val="24"/>
          <w:szCs w:val="24"/>
          <w:lang w:eastAsia="en-US"/>
        </w:rPr>
        <w:t>A MiFIR tehát egy olyan új, harmonizált termékintervenciós rezsimet vezet be, mely egyrészt k</w:t>
      </w:r>
      <w:r w:rsidRPr="00593944">
        <w:rPr>
          <w:rFonts w:asciiTheme="minorHAnsi" w:hAnsiTheme="minorHAnsi"/>
          <w:sz w:val="24"/>
          <w:szCs w:val="24"/>
          <w:lang w:eastAsia="en-US"/>
        </w:rPr>
        <w:t>i</w:t>
      </w:r>
      <w:r w:rsidRPr="00593944">
        <w:rPr>
          <w:rFonts w:asciiTheme="minorHAnsi" w:hAnsiTheme="minorHAnsi"/>
          <w:sz w:val="24"/>
          <w:szCs w:val="24"/>
          <w:lang w:eastAsia="en-US"/>
        </w:rPr>
        <w:t xml:space="preserve">egészíti a tagállamok számára jelenleg rendelkezésre álló eszközöket, másrészt kiegészíti a MiFID II által meghatározott termékirányítási rendelkezéseket. </w:t>
      </w:r>
    </w:p>
    <w:p w:rsidR="004C1AFA" w:rsidRPr="004C1AFA" w:rsidRDefault="004C1AFA" w:rsidP="00593944">
      <w:pPr>
        <w:tabs>
          <w:tab w:val="left" w:pos="426"/>
        </w:tabs>
        <w:spacing w:after="120"/>
        <w:rPr>
          <w:rFonts w:asciiTheme="minorHAnsi" w:hAnsiTheme="minorHAnsi"/>
          <w:sz w:val="10"/>
          <w:szCs w:val="24"/>
          <w:lang w:eastAsia="en-US"/>
        </w:rPr>
      </w:pPr>
    </w:p>
    <w:p w:rsidR="004C1AFA" w:rsidRPr="000D5944" w:rsidRDefault="004C1AFA" w:rsidP="004C1AFA">
      <w:pPr>
        <w:pStyle w:val="Listaszerbekezds"/>
        <w:numPr>
          <w:ilvl w:val="0"/>
          <w:numId w:val="12"/>
        </w:numPr>
        <w:tabs>
          <w:tab w:val="left" w:pos="426"/>
        </w:tabs>
        <w:spacing w:after="120"/>
        <w:rPr>
          <w:rFonts w:asciiTheme="minorHAnsi" w:hAnsiTheme="minorHAnsi"/>
          <w:b/>
          <w:i/>
          <w:sz w:val="24"/>
          <w:szCs w:val="24"/>
          <w:lang w:eastAsia="en-US"/>
        </w:rPr>
      </w:pPr>
      <w:r w:rsidRPr="000D5944">
        <w:rPr>
          <w:rFonts w:asciiTheme="minorHAnsi" w:hAnsiTheme="minorHAnsi"/>
          <w:b/>
          <w:i/>
          <w:sz w:val="24"/>
          <w:szCs w:val="24"/>
          <w:lang w:eastAsia="en-US"/>
        </w:rPr>
        <w:t>A MiFID II/MiFIR főbb újdonságainak összegzése</w:t>
      </w:r>
    </w:p>
    <w:tbl>
      <w:tblPr>
        <w:tblStyle w:val="tblzat-fejlces1"/>
        <w:tblW w:w="9625" w:type="dxa"/>
        <w:jc w:val="center"/>
        <w:tblInd w:w="709" w:type="dxa"/>
        <w:tblLook w:val="04A0" w:firstRow="1" w:lastRow="0" w:firstColumn="1" w:lastColumn="0" w:noHBand="0" w:noVBand="1"/>
      </w:tblPr>
      <w:tblGrid>
        <w:gridCol w:w="2389"/>
        <w:gridCol w:w="7236"/>
      </w:tblGrid>
      <w:tr w:rsidR="00593944" w:rsidRPr="00593944" w:rsidTr="004C1A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5" w:type="dxa"/>
            <w:gridSpan w:val="2"/>
          </w:tcPr>
          <w:p w:rsidR="00593944" w:rsidRPr="00593944" w:rsidRDefault="00593944" w:rsidP="004C1AFA">
            <w:pPr>
              <w:tabs>
                <w:tab w:val="left" w:pos="426"/>
              </w:tabs>
              <w:spacing w:after="120"/>
              <w:jc w:val="center"/>
              <w:rPr>
                <w:rFonts w:asciiTheme="minorHAnsi" w:hAnsiTheme="minorHAnsi"/>
                <w:b/>
                <w:szCs w:val="20"/>
                <w:lang w:eastAsia="en-US"/>
              </w:rPr>
            </w:pPr>
            <w:r>
              <w:rPr>
                <w:b/>
                <w:sz w:val="24"/>
                <w:szCs w:val="24"/>
              </w:rPr>
              <w:t>A MiFID II/MiFIR főbb újdonságainak összegzése</w:t>
            </w:r>
          </w:p>
        </w:tc>
      </w:tr>
      <w:tr w:rsidR="004C1AFA"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shd w:val="clear" w:color="auto" w:fill="DDD8C5" w:themeFill="background2" w:themeFillTint="66"/>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Témakör</w:t>
            </w:r>
          </w:p>
        </w:tc>
        <w:tc>
          <w:tcPr>
            <w:tcW w:w="7337" w:type="dxa"/>
            <w:shd w:val="clear" w:color="auto" w:fill="DDD8C5" w:themeFill="background2" w:themeFillTint="66"/>
          </w:tcPr>
          <w:p w:rsidR="00593944" w:rsidRPr="00593944" w:rsidRDefault="00593944" w:rsidP="00593944">
            <w:pPr>
              <w:tabs>
                <w:tab w:val="left" w:pos="426"/>
              </w:tabs>
              <w:spacing w:after="12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b/>
                <w:szCs w:val="20"/>
                <w:lang w:eastAsia="en-US"/>
              </w:rPr>
            </w:pPr>
            <w:r w:rsidRPr="00593944">
              <w:rPr>
                <w:rFonts w:asciiTheme="minorHAnsi" w:eastAsiaTheme="minorHAnsi" w:hAnsiTheme="minorHAnsi"/>
                <w:b/>
                <w:szCs w:val="20"/>
                <w:lang w:eastAsia="en-US"/>
              </w:rPr>
              <w:t>Új rendelkezés</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Kereskedési helyszínek</w:t>
            </w:r>
          </w:p>
        </w:tc>
        <w:tc>
          <w:tcPr>
            <w:tcW w:w="7337" w:type="dxa"/>
          </w:tcPr>
          <w:p w:rsidR="00593944" w:rsidRPr="00593944" w:rsidRDefault="00593944" w:rsidP="00117A31">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Kereskedési helyszínek fogalmának meghatározása. Új kereskedési platform létreh</w:t>
            </w:r>
            <w:r w:rsidRPr="00593944">
              <w:rPr>
                <w:rFonts w:asciiTheme="minorHAnsi" w:eastAsiaTheme="minorHAnsi" w:hAnsiTheme="minorHAnsi"/>
                <w:szCs w:val="20"/>
                <w:lang w:eastAsia="en-US"/>
              </w:rPr>
              <w:t>o</w:t>
            </w:r>
            <w:r w:rsidRPr="00593944">
              <w:rPr>
                <w:rFonts w:asciiTheme="minorHAnsi" w:eastAsiaTheme="minorHAnsi" w:hAnsiTheme="minorHAnsi"/>
                <w:szCs w:val="20"/>
                <w:lang w:eastAsia="en-US"/>
              </w:rPr>
              <w:t>zása (OTF).</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Megkülönböztetésmentes hozzáférés</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A központi szerződő felekhez (CCP) és kereskedési helyszínekhez való megkülönböztetésmentes hozzáférés előírása.</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Adatszolgáltatók</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Adatszolgáltatók engedélyezésének és működési feltételeinek részletes meghatároz</w:t>
            </w:r>
            <w:r w:rsidRPr="00593944">
              <w:rPr>
                <w:rFonts w:asciiTheme="minorHAnsi" w:eastAsiaTheme="minorHAnsi" w:hAnsiTheme="minorHAnsi"/>
                <w:szCs w:val="20"/>
                <w:lang w:eastAsia="en-US"/>
              </w:rPr>
              <w:t>á</w:t>
            </w:r>
            <w:r w:rsidRPr="00593944">
              <w:rPr>
                <w:rFonts w:asciiTheme="minorHAnsi" w:eastAsiaTheme="minorHAnsi" w:hAnsiTheme="minorHAnsi"/>
                <w:szCs w:val="20"/>
                <w:lang w:eastAsia="en-US"/>
              </w:rPr>
              <w:t xml:space="preserve">sa. </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Legjobb végrehajtás</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Legjobb végrehajtás elve további követelményekkel egészül ki. Öt legfontosabb kere</w:t>
            </w:r>
            <w:r w:rsidRPr="00593944">
              <w:rPr>
                <w:rFonts w:asciiTheme="minorHAnsi" w:eastAsiaTheme="minorHAnsi" w:hAnsiTheme="minorHAnsi"/>
                <w:szCs w:val="20"/>
                <w:lang w:eastAsia="en-US"/>
              </w:rPr>
              <w:t>s</w:t>
            </w:r>
            <w:r w:rsidRPr="00593944">
              <w:rPr>
                <w:rFonts w:asciiTheme="minorHAnsi" w:eastAsiaTheme="minorHAnsi" w:hAnsiTheme="minorHAnsi"/>
                <w:szCs w:val="20"/>
                <w:lang w:eastAsia="en-US"/>
              </w:rPr>
              <w:t xml:space="preserve">kedési helyszín évenkénti nyilvánosságra hozatala. </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Befektetési tanácsadás</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 xml:space="preserve">Független tanácsadás koncepciójának bevezetése. </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Megfelelőség</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 xml:space="preserve">Korábbi rendelkezések bővítése. </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Alkalmasság</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 xml:space="preserve">Alkalmassági értékelés befektetési tanácsadás esetében. </w:t>
            </w:r>
            <w:r w:rsidR="00CF59A4">
              <w:rPr>
                <w:rFonts w:asciiTheme="minorHAnsi" w:eastAsiaTheme="minorHAnsi" w:hAnsiTheme="minorHAnsi"/>
                <w:szCs w:val="20"/>
                <w:lang w:eastAsia="en-US"/>
              </w:rPr>
              <w:t>(Módosul</w:t>
            </w:r>
            <w:r w:rsidR="00CF59A4" w:rsidRPr="00CF59A4">
              <w:rPr>
                <w:rFonts w:asciiTheme="minorHAnsi" w:eastAsiaTheme="minorHAnsi" w:hAnsiTheme="minorHAnsi"/>
                <w:szCs w:val="20"/>
                <w:lang w:eastAsia="en-US"/>
              </w:rPr>
              <w:t xml:space="preserve"> a pénzügyi eszk</w:t>
            </w:r>
            <w:r w:rsidR="00CF59A4" w:rsidRPr="00CF59A4">
              <w:rPr>
                <w:rFonts w:asciiTheme="minorHAnsi" w:eastAsiaTheme="minorHAnsi" w:hAnsiTheme="minorHAnsi"/>
                <w:szCs w:val="20"/>
                <w:lang w:eastAsia="en-US"/>
              </w:rPr>
              <w:t>ö</w:t>
            </w:r>
            <w:r w:rsidR="00CF59A4">
              <w:rPr>
                <w:rFonts w:asciiTheme="minorHAnsi" w:eastAsiaTheme="minorHAnsi" w:hAnsiTheme="minorHAnsi"/>
                <w:szCs w:val="20"/>
                <w:lang w:eastAsia="en-US"/>
              </w:rPr>
              <w:t>zök azon listája</w:t>
            </w:r>
            <w:r w:rsidR="00CF59A4" w:rsidRPr="00CF59A4">
              <w:rPr>
                <w:rFonts w:asciiTheme="minorHAnsi" w:eastAsiaTheme="minorHAnsi" w:hAnsiTheme="minorHAnsi"/>
                <w:szCs w:val="20"/>
                <w:lang w:eastAsia="en-US"/>
              </w:rPr>
              <w:t>, melyek esetében nincs szükség az ügyfél ismereteinek és annak fe</w:t>
            </w:r>
            <w:r w:rsidR="00CF59A4" w:rsidRPr="00CF59A4">
              <w:rPr>
                <w:rFonts w:asciiTheme="minorHAnsi" w:eastAsiaTheme="minorHAnsi" w:hAnsiTheme="minorHAnsi"/>
                <w:szCs w:val="20"/>
                <w:lang w:eastAsia="en-US"/>
              </w:rPr>
              <w:t>l</w:t>
            </w:r>
            <w:r w:rsidR="00CF59A4" w:rsidRPr="00CF59A4">
              <w:rPr>
                <w:rFonts w:asciiTheme="minorHAnsi" w:eastAsiaTheme="minorHAnsi" w:hAnsiTheme="minorHAnsi"/>
                <w:szCs w:val="20"/>
                <w:lang w:eastAsia="en-US"/>
              </w:rPr>
              <w:t>mérésére, hogy a befektetési szolgáltatás vagy az ajánlott termék meg-felelő-e az ügyfél számára</w:t>
            </w:r>
            <w:r w:rsidR="00CF59A4">
              <w:rPr>
                <w:rFonts w:asciiTheme="minorHAnsi" w:eastAsiaTheme="minorHAnsi" w:hAnsiTheme="minorHAnsi"/>
                <w:szCs w:val="20"/>
                <w:lang w:eastAsia="en-US"/>
              </w:rPr>
              <w:t>.)</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lastRenderedPageBreak/>
              <w:t>Ügyfelek besorolása</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Önkormányzatok és helyi hatóságok lakossági kategóriába történő átkerülése. Elf</w:t>
            </w:r>
            <w:r w:rsidRPr="00593944">
              <w:rPr>
                <w:rFonts w:asciiTheme="minorHAnsi" w:eastAsiaTheme="minorHAnsi" w:hAnsiTheme="minorHAnsi"/>
                <w:szCs w:val="20"/>
                <w:lang w:eastAsia="en-US"/>
              </w:rPr>
              <w:t>o</w:t>
            </w:r>
            <w:r w:rsidRPr="00593944">
              <w:rPr>
                <w:rFonts w:asciiTheme="minorHAnsi" w:eastAsiaTheme="minorHAnsi" w:hAnsiTheme="minorHAnsi"/>
                <w:szCs w:val="20"/>
                <w:lang w:eastAsia="en-US"/>
              </w:rPr>
              <w:t>gadható partner esetében a végzett tevékenység és egyéb jellemzők figyelembe vét</w:t>
            </w:r>
            <w:r w:rsidRPr="00593944">
              <w:rPr>
                <w:rFonts w:asciiTheme="minorHAnsi" w:eastAsiaTheme="minorHAnsi" w:hAnsiTheme="minorHAnsi"/>
                <w:szCs w:val="20"/>
                <w:lang w:eastAsia="en-US"/>
              </w:rPr>
              <w:t>e</w:t>
            </w:r>
            <w:r w:rsidRPr="00593944">
              <w:rPr>
                <w:rFonts w:asciiTheme="minorHAnsi" w:eastAsiaTheme="minorHAnsi" w:hAnsiTheme="minorHAnsi"/>
                <w:szCs w:val="20"/>
                <w:lang w:eastAsia="en-US"/>
              </w:rPr>
              <w:t xml:space="preserve">le. </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Ügyfelek tájékoztatása</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 xml:space="preserve">Információs követelmények bővülése. Időszakos jelentésekkel történő kiegészítés. </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Nyilvántartások</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Olyan nyilvántartás vezetése, amely elegendő az illetékes hatóság felügyeleti feladat</w:t>
            </w:r>
            <w:r w:rsidRPr="00593944">
              <w:rPr>
                <w:rFonts w:asciiTheme="minorHAnsi" w:eastAsiaTheme="minorHAnsi" w:hAnsiTheme="minorHAnsi"/>
                <w:szCs w:val="20"/>
                <w:lang w:eastAsia="en-US"/>
              </w:rPr>
              <w:t>a</w:t>
            </w:r>
            <w:r w:rsidRPr="00593944">
              <w:rPr>
                <w:rFonts w:asciiTheme="minorHAnsi" w:eastAsiaTheme="minorHAnsi" w:hAnsiTheme="minorHAnsi"/>
                <w:szCs w:val="20"/>
                <w:lang w:eastAsia="en-US"/>
              </w:rPr>
              <w:t>inak ellátásához.</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proofErr w:type="gramStart"/>
            <w:r w:rsidRPr="00593944">
              <w:rPr>
                <w:rFonts w:asciiTheme="minorHAnsi" w:eastAsiaTheme="minorHAnsi" w:hAnsiTheme="minorHAnsi"/>
                <w:b/>
                <w:szCs w:val="20"/>
                <w:lang w:eastAsia="en-US"/>
              </w:rPr>
              <w:t>Algoritmikus kereskedés</w:t>
            </w:r>
            <w:proofErr w:type="gramEnd"/>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 xml:space="preserve">Egyértelmű meghatározás. Engedélyezés előírása a nagysebessségű </w:t>
            </w:r>
            <w:proofErr w:type="gramStart"/>
            <w:r w:rsidRPr="00593944">
              <w:rPr>
                <w:rFonts w:asciiTheme="minorHAnsi" w:eastAsiaTheme="minorHAnsi" w:hAnsiTheme="minorHAnsi"/>
                <w:szCs w:val="20"/>
                <w:lang w:eastAsia="en-US"/>
              </w:rPr>
              <w:t>algoritmikus k</w:t>
            </w:r>
            <w:r w:rsidRPr="00593944">
              <w:rPr>
                <w:rFonts w:asciiTheme="minorHAnsi" w:eastAsiaTheme="minorHAnsi" w:hAnsiTheme="minorHAnsi"/>
                <w:szCs w:val="20"/>
                <w:lang w:eastAsia="en-US"/>
              </w:rPr>
              <w:t>e</w:t>
            </w:r>
            <w:r w:rsidRPr="00593944">
              <w:rPr>
                <w:rFonts w:asciiTheme="minorHAnsi" w:eastAsiaTheme="minorHAnsi" w:hAnsiTheme="minorHAnsi"/>
                <w:szCs w:val="20"/>
                <w:lang w:eastAsia="en-US"/>
              </w:rPr>
              <w:t>reskedést</w:t>
            </w:r>
            <w:proofErr w:type="gramEnd"/>
            <w:r w:rsidRPr="00593944">
              <w:rPr>
                <w:rFonts w:asciiTheme="minorHAnsi" w:eastAsiaTheme="minorHAnsi" w:hAnsiTheme="minorHAnsi"/>
                <w:szCs w:val="20"/>
                <w:lang w:eastAsia="en-US"/>
              </w:rPr>
              <w:t xml:space="preserve"> folytató vállalkozásoknak.</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Termékirányítási rezsim</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 xml:space="preserve">Új, európai szintű termékirányítási rendszer bevezetése. </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Pozíciómenedzsment</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Pozíciólimitek és pozíciókezelési kontrollmechanizmus az árualapú származtatott termékekre vonatkozóan.</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Szankciós rezsim</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Új, szigorúbb szankciós struktúra bevezetése, minimálisan biztosítandó eszköztár meghatározása.</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Rendszeres internalizálók</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 xml:space="preserve">Fogalom módosítása, mennyiségi kritériumok bevezetése, pénzügyi instrumentumok hatályának bővítése. </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Nyilvánosságra hozatal</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Szélesebb körű transzparencia szabályok bevezetése, a tulajdonviszonyt és nem tula</w:t>
            </w:r>
            <w:r w:rsidRPr="00593944">
              <w:rPr>
                <w:rFonts w:asciiTheme="minorHAnsi" w:eastAsiaTheme="minorHAnsi" w:hAnsiTheme="minorHAnsi"/>
                <w:szCs w:val="20"/>
                <w:lang w:eastAsia="en-US"/>
              </w:rPr>
              <w:t>j</w:t>
            </w:r>
            <w:r w:rsidRPr="00593944">
              <w:rPr>
                <w:rFonts w:asciiTheme="minorHAnsi" w:eastAsiaTheme="minorHAnsi" w:hAnsiTheme="minorHAnsi"/>
                <w:szCs w:val="20"/>
                <w:lang w:eastAsia="en-US"/>
              </w:rPr>
              <w:t>donviszonyt megtestesítő instrumentumok, valamint az összes kereskedési helyszín tekintetében.</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Ügyletjelentések</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Megbízásra, lebonyolított ügyletekre vonatkozó lényeges adatok 5 évig történő me</w:t>
            </w:r>
            <w:r w:rsidRPr="00593944">
              <w:rPr>
                <w:rFonts w:asciiTheme="minorHAnsi" w:eastAsiaTheme="minorHAnsi" w:hAnsiTheme="minorHAnsi"/>
                <w:szCs w:val="20"/>
                <w:lang w:eastAsia="en-US"/>
              </w:rPr>
              <w:t>g</w:t>
            </w:r>
            <w:r w:rsidRPr="00593944">
              <w:rPr>
                <w:rFonts w:asciiTheme="minorHAnsi" w:eastAsiaTheme="minorHAnsi" w:hAnsiTheme="minorHAnsi"/>
                <w:szCs w:val="20"/>
                <w:lang w:eastAsia="en-US"/>
              </w:rPr>
              <w:t>őrzése, illetve jelentés az illetékes hatóság felé.</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Származtatott termékek</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A kereskedési kötelezettség hatálya alá tartozó származtatott ügyletek kizárólag sz</w:t>
            </w:r>
            <w:r w:rsidRPr="00593944">
              <w:rPr>
                <w:rFonts w:asciiTheme="minorHAnsi" w:eastAsiaTheme="minorHAnsi" w:hAnsiTheme="minorHAnsi"/>
                <w:szCs w:val="20"/>
                <w:lang w:eastAsia="en-US"/>
              </w:rPr>
              <w:t>a</w:t>
            </w:r>
            <w:r w:rsidRPr="00593944">
              <w:rPr>
                <w:rFonts w:asciiTheme="minorHAnsi" w:eastAsiaTheme="minorHAnsi" w:hAnsiTheme="minorHAnsi"/>
                <w:szCs w:val="20"/>
                <w:lang w:eastAsia="en-US"/>
              </w:rPr>
              <w:t>bályozott piacokon, MTF-eken, OTF-eken köthetők meg.</w:t>
            </w:r>
          </w:p>
        </w:tc>
      </w:tr>
      <w:tr w:rsidR="00593944" w:rsidRPr="00593944" w:rsidTr="004C1AFA">
        <w:trPr>
          <w:jc w:val="center"/>
        </w:trPr>
        <w:tc>
          <w:tcPr>
            <w:cnfStyle w:val="001000000000" w:firstRow="0" w:lastRow="0" w:firstColumn="1" w:lastColumn="0" w:oddVBand="0" w:evenVBand="0" w:oddHBand="0" w:evenHBand="0" w:firstRowFirstColumn="0" w:firstRowLastColumn="0" w:lastRowFirstColumn="0" w:lastRowLastColumn="0"/>
            <w:tcW w:w="2288" w:type="dxa"/>
          </w:tcPr>
          <w:p w:rsidR="00593944" w:rsidRPr="00593944" w:rsidRDefault="00593944" w:rsidP="00593944">
            <w:pPr>
              <w:tabs>
                <w:tab w:val="left" w:pos="426"/>
              </w:tabs>
              <w:spacing w:after="120"/>
              <w:contextualSpacing w:val="0"/>
              <w:jc w:val="center"/>
              <w:rPr>
                <w:rFonts w:asciiTheme="minorHAnsi" w:eastAsiaTheme="minorHAnsi" w:hAnsiTheme="minorHAnsi"/>
                <w:b/>
                <w:szCs w:val="20"/>
                <w:lang w:eastAsia="en-US"/>
              </w:rPr>
            </w:pPr>
            <w:r w:rsidRPr="00593944">
              <w:rPr>
                <w:rFonts w:asciiTheme="minorHAnsi" w:eastAsiaTheme="minorHAnsi" w:hAnsiTheme="minorHAnsi"/>
                <w:b/>
                <w:szCs w:val="20"/>
                <w:lang w:eastAsia="en-US"/>
              </w:rPr>
              <w:t>Termékintervenció</w:t>
            </w:r>
          </w:p>
        </w:tc>
        <w:tc>
          <w:tcPr>
            <w:tcW w:w="7337" w:type="dxa"/>
          </w:tcPr>
          <w:p w:rsidR="00593944" w:rsidRPr="00593944" w:rsidRDefault="00593944" w:rsidP="00593944">
            <w:pPr>
              <w:tabs>
                <w:tab w:val="left" w:pos="426"/>
              </w:tabs>
              <w:spacing w:after="12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0"/>
                <w:lang w:eastAsia="en-US"/>
              </w:rPr>
            </w:pPr>
            <w:r w:rsidRPr="00593944">
              <w:rPr>
                <w:rFonts w:asciiTheme="minorHAnsi" w:eastAsiaTheme="minorHAnsi" w:hAnsiTheme="minorHAnsi"/>
                <w:szCs w:val="20"/>
                <w:lang w:eastAsia="en-US"/>
              </w:rPr>
              <w:t>Pénzügyi termékek és tevékenységek korlátozása és tiltása az illetékes hatóság által.</w:t>
            </w:r>
          </w:p>
        </w:tc>
      </w:tr>
    </w:tbl>
    <w:p w:rsidR="0018619A" w:rsidRPr="000D5944" w:rsidRDefault="0018619A" w:rsidP="0018619A">
      <w:pPr>
        <w:rPr>
          <w:i/>
        </w:rPr>
      </w:pPr>
    </w:p>
    <w:p w:rsidR="004C1AFA" w:rsidRPr="000D5944" w:rsidRDefault="004C1AFA" w:rsidP="004C1AFA">
      <w:pPr>
        <w:pStyle w:val="Listaszerbekezds"/>
        <w:numPr>
          <w:ilvl w:val="0"/>
          <w:numId w:val="12"/>
        </w:numPr>
        <w:rPr>
          <w:b/>
          <w:i/>
          <w:sz w:val="24"/>
          <w:szCs w:val="24"/>
        </w:rPr>
      </w:pPr>
      <w:r w:rsidRPr="000D5944">
        <w:rPr>
          <w:b/>
          <w:i/>
          <w:sz w:val="24"/>
          <w:szCs w:val="24"/>
        </w:rPr>
        <w:t>Összegzés</w:t>
      </w:r>
    </w:p>
    <w:p w:rsidR="004C1AFA" w:rsidRPr="00D433CF" w:rsidRDefault="00D433CF" w:rsidP="00D433CF">
      <w:pPr>
        <w:rPr>
          <w:sz w:val="24"/>
          <w:szCs w:val="24"/>
        </w:rPr>
      </w:pPr>
      <w:r>
        <w:rPr>
          <w:sz w:val="24"/>
          <w:szCs w:val="24"/>
        </w:rPr>
        <w:t xml:space="preserve">A MiFID II a MiFID I-hez képest, valamint a MiFIR tehát </w:t>
      </w:r>
      <w:r w:rsidRPr="00D433CF">
        <w:rPr>
          <w:sz w:val="24"/>
          <w:szCs w:val="24"/>
        </w:rPr>
        <w:t xml:space="preserve">számos új rendelkezést, illetve korábbi szabályok módosítását, pontosítását tartalmazzák, </w:t>
      </w:r>
      <w:r>
        <w:rPr>
          <w:sz w:val="24"/>
          <w:szCs w:val="24"/>
        </w:rPr>
        <w:t>ezen kívül,</w:t>
      </w:r>
      <w:r w:rsidRPr="00D433CF">
        <w:rPr>
          <w:sz w:val="24"/>
          <w:szCs w:val="24"/>
        </w:rPr>
        <w:t xml:space="preserve"> a jelenlegi felügyelési hatáskörök bővülését </w:t>
      </w:r>
      <w:r>
        <w:rPr>
          <w:sz w:val="24"/>
          <w:szCs w:val="24"/>
        </w:rPr>
        <w:t xml:space="preserve">is </w:t>
      </w:r>
      <w:r w:rsidRPr="00D433CF">
        <w:rPr>
          <w:sz w:val="24"/>
          <w:szCs w:val="24"/>
        </w:rPr>
        <w:t>eredményezi</w:t>
      </w:r>
      <w:r>
        <w:rPr>
          <w:sz w:val="24"/>
          <w:szCs w:val="24"/>
        </w:rPr>
        <w:t>k. A befektetővédelmet és a piacok átláthatóságát elősegítő rendelkez</w:t>
      </w:r>
      <w:r>
        <w:rPr>
          <w:sz w:val="24"/>
          <w:szCs w:val="24"/>
        </w:rPr>
        <w:t>é</w:t>
      </w:r>
      <w:r>
        <w:rPr>
          <w:sz w:val="24"/>
          <w:szCs w:val="24"/>
        </w:rPr>
        <w:t>sek mellett azonban további válto</w:t>
      </w:r>
      <w:r w:rsidR="006427BA">
        <w:rPr>
          <w:sz w:val="24"/>
          <w:szCs w:val="24"/>
        </w:rPr>
        <w:t xml:space="preserve">zások is </w:t>
      </w:r>
      <w:r w:rsidR="001C729E">
        <w:rPr>
          <w:sz w:val="24"/>
          <w:szCs w:val="24"/>
        </w:rPr>
        <w:t>várhatóak</w:t>
      </w:r>
      <w:r w:rsidR="006427BA">
        <w:rPr>
          <w:sz w:val="24"/>
          <w:szCs w:val="24"/>
        </w:rPr>
        <w:t>, hiszen a befektetési vállalkozások és hiteli</w:t>
      </w:r>
      <w:r w:rsidR="006427BA">
        <w:rPr>
          <w:sz w:val="24"/>
          <w:szCs w:val="24"/>
        </w:rPr>
        <w:t>n</w:t>
      </w:r>
      <w:r w:rsidR="006427BA">
        <w:rPr>
          <w:sz w:val="24"/>
          <w:szCs w:val="24"/>
        </w:rPr>
        <w:t xml:space="preserve">tézetek tőkekövetelményeit meghatározó rendelet (CRR) </w:t>
      </w:r>
      <w:r w:rsidR="006427BA" w:rsidRPr="006427BA">
        <w:rPr>
          <w:sz w:val="24"/>
          <w:szCs w:val="24"/>
        </w:rPr>
        <w:t>több pontja is megköveteli a Bizottsá</w:t>
      </w:r>
      <w:r w:rsidR="006427BA" w:rsidRPr="006427BA">
        <w:rPr>
          <w:sz w:val="24"/>
          <w:szCs w:val="24"/>
        </w:rPr>
        <w:t>g</w:t>
      </w:r>
      <w:r w:rsidR="00DC2DF6">
        <w:rPr>
          <w:sz w:val="24"/>
          <w:szCs w:val="24"/>
        </w:rPr>
        <w:t xml:space="preserve">tól </w:t>
      </w:r>
      <w:r w:rsidR="006427BA" w:rsidRPr="006427BA">
        <w:rPr>
          <w:sz w:val="24"/>
          <w:szCs w:val="24"/>
        </w:rPr>
        <w:t>a befektetési vállalkozás</w:t>
      </w:r>
      <w:r w:rsidR="00DC2DF6">
        <w:rPr>
          <w:sz w:val="24"/>
          <w:szCs w:val="24"/>
        </w:rPr>
        <w:t>ok jelenlegi prudenciális követelményeinek felülvizsgálatát</w:t>
      </w:r>
      <w:r w:rsidR="006427BA">
        <w:rPr>
          <w:sz w:val="24"/>
          <w:szCs w:val="24"/>
        </w:rPr>
        <w:t xml:space="preserve">. Az ezekkel kapcsolatos </w:t>
      </w:r>
      <w:r w:rsidR="00DC2DF6">
        <w:rPr>
          <w:sz w:val="24"/>
          <w:szCs w:val="24"/>
        </w:rPr>
        <w:t xml:space="preserve">munkák és a lehetséges irányvonalak </w:t>
      </w:r>
      <w:r w:rsidR="006427BA">
        <w:rPr>
          <w:sz w:val="24"/>
          <w:szCs w:val="24"/>
        </w:rPr>
        <w:t xml:space="preserve">kidolgozása megkezdődött, a felülvizsgálat eredménye pedig fontos változásokat eredményezhet. </w:t>
      </w:r>
    </w:p>
    <w:p w:rsidR="00250112" w:rsidRDefault="00250112" w:rsidP="00250112">
      <w:pPr>
        <w:rPr>
          <w:b/>
          <w:sz w:val="24"/>
          <w:szCs w:val="24"/>
        </w:rPr>
      </w:pPr>
    </w:p>
    <w:p w:rsidR="006427BA" w:rsidRDefault="006427BA" w:rsidP="00250112">
      <w:pPr>
        <w:rPr>
          <w:b/>
          <w:sz w:val="24"/>
          <w:szCs w:val="24"/>
        </w:rPr>
      </w:pPr>
    </w:p>
    <w:p w:rsidR="004C1AFA" w:rsidRPr="00250112" w:rsidRDefault="00C51EB6" w:rsidP="00250112">
      <w:pPr>
        <w:rPr>
          <w:b/>
          <w:sz w:val="24"/>
          <w:szCs w:val="24"/>
        </w:rPr>
      </w:pPr>
      <w:r w:rsidRPr="00250112">
        <w:rPr>
          <w:b/>
          <w:sz w:val="24"/>
          <w:szCs w:val="24"/>
        </w:rPr>
        <w:lastRenderedPageBreak/>
        <w:t>Források</w:t>
      </w:r>
    </w:p>
    <w:p w:rsidR="00117A31" w:rsidRPr="00117A31" w:rsidRDefault="00117A31" w:rsidP="00117A31">
      <w:pPr>
        <w:rPr>
          <w:rStyle w:val="Hiperhivatkozs"/>
          <w:rFonts w:asciiTheme="minorHAnsi" w:hAnsiTheme="minorHAnsi"/>
          <w:sz w:val="24"/>
          <w:szCs w:val="24"/>
          <w:vertAlign w:val="baseline"/>
        </w:rPr>
      </w:pPr>
      <w:r>
        <w:rPr>
          <w:rFonts w:asciiTheme="minorHAnsi" w:hAnsiTheme="minorHAnsi"/>
          <w:color w:val="000000"/>
          <w:sz w:val="24"/>
          <w:szCs w:val="24"/>
        </w:rPr>
        <w:fldChar w:fldCharType="begin"/>
      </w:r>
      <w:r>
        <w:rPr>
          <w:rFonts w:asciiTheme="minorHAnsi" w:hAnsiTheme="minorHAnsi"/>
          <w:color w:val="000000"/>
          <w:sz w:val="24"/>
          <w:szCs w:val="24"/>
        </w:rPr>
        <w:instrText xml:space="preserve"> HYPERLINK "http://eur-lex.europa.eu/legal-content/HU/TXT/PDF/?uri=CELEX:02004L0039-20110104&amp;from=EN" \o "AZ EURÓPAI PARLAMENT ÉS A TANÁCS 2004/39/EK IRÁNYELVE a pénzügyi eszközök piacairól, a 85/611/EGK és a 93/6/EGK tanácsi irányelv, és a 2000/12/EK európai parlamenti és tanácsi irányelv módosításáról, valamint a 93/22/EGK tanácsi irányelv hatályon kívül helyezéséről" \t "_blank" </w:instrText>
      </w:r>
      <w:r>
        <w:rPr>
          <w:rFonts w:asciiTheme="minorHAnsi" w:hAnsiTheme="minorHAnsi"/>
          <w:color w:val="000000"/>
          <w:sz w:val="24"/>
          <w:szCs w:val="24"/>
        </w:rPr>
        <w:fldChar w:fldCharType="separate"/>
      </w:r>
      <w:r w:rsidRPr="00117A31">
        <w:rPr>
          <w:rStyle w:val="Hiperhivatkozs"/>
          <w:rFonts w:asciiTheme="minorHAnsi" w:hAnsiTheme="minorHAnsi"/>
          <w:sz w:val="24"/>
          <w:szCs w:val="24"/>
          <w:vertAlign w:val="baseline"/>
        </w:rPr>
        <w:t xml:space="preserve">AZ EURÓPAI PARLAMENT </w:t>
      </w:r>
      <w:proofErr w:type="gramStart"/>
      <w:r w:rsidRPr="00117A31">
        <w:rPr>
          <w:rStyle w:val="Hiperhivatkozs"/>
          <w:rFonts w:asciiTheme="minorHAnsi" w:hAnsiTheme="minorHAnsi"/>
          <w:sz w:val="24"/>
          <w:szCs w:val="24"/>
          <w:vertAlign w:val="baseline"/>
        </w:rPr>
        <w:t>ÉS</w:t>
      </w:r>
      <w:proofErr w:type="gramEnd"/>
      <w:r w:rsidRPr="00117A31">
        <w:rPr>
          <w:rStyle w:val="Hiperhivatkozs"/>
          <w:rFonts w:asciiTheme="minorHAnsi" w:hAnsiTheme="minorHAnsi"/>
          <w:sz w:val="24"/>
          <w:szCs w:val="24"/>
          <w:vertAlign w:val="baseline"/>
        </w:rPr>
        <w:t xml:space="preserve"> A TANÁCS 2004/39/EK IRÁNYELVE a pénzügyi eszközök piacairól, a 85/611/EGK és a 93/6/EGK tanácsi irányelv, és a 2000/12/EK európai parlamenti és tanácsi irán</w:t>
      </w:r>
      <w:r w:rsidRPr="00117A31">
        <w:rPr>
          <w:rStyle w:val="Hiperhivatkozs"/>
          <w:rFonts w:asciiTheme="minorHAnsi" w:hAnsiTheme="minorHAnsi"/>
          <w:sz w:val="24"/>
          <w:szCs w:val="24"/>
          <w:vertAlign w:val="baseline"/>
        </w:rPr>
        <w:t>y</w:t>
      </w:r>
      <w:r w:rsidRPr="00117A31">
        <w:rPr>
          <w:rStyle w:val="Hiperhivatkozs"/>
          <w:rFonts w:asciiTheme="minorHAnsi" w:hAnsiTheme="minorHAnsi"/>
          <w:sz w:val="24"/>
          <w:szCs w:val="24"/>
          <w:vertAlign w:val="baseline"/>
        </w:rPr>
        <w:t>elv módosításáról, valamint a 93/22/EGK tanácsi irányelv hatályon kívül helyezéséről</w:t>
      </w:r>
    </w:p>
    <w:p w:rsidR="00117A31" w:rsidRPr="00117A31" w:rsidRDefault="00117A31" w:rsidP="00117A31">
      <w:pPr>
        <w:rPr>
          <w:rStyle w:val="Hiperhivatkozs"/>
          <w:rFonts w:asciiTheme="minorHAnsi" w:hAnsiTheme="minorHAnsi"/>
          <w:sz w:val="24"/>
          <w:szCs w:val="24"/>
          <w:vertAlign w:val="baseline"/>
        </w:rPr>
      </w:pPr>
      <w:r>
        <w:rPr>
          <w:rFonts w:asciiTheme="minorHAnsi" w:hAnsiTheme="minorHAnsi"/>
          <w:color w:val="000000"/>
          <w:sz w:val="24"/>
          <w:szCs w:val="24"/>
        </w:rPr>
        <w:fldChar w:fldCharType="end"/>
      </w:r>
      <w:r>
        <w:rPr>
          <w:rFonts w:asciiTheme="minorHAnsi" w:hAnsiTheme="minorHAnsi"/>
          <w:color w:val="000000"/>
          <w:sz w:val="24"/>
          <w:szCs w:val="24"/>
        </w:rPr>
        <w:fldChar w:fldCharType="begin"/>
      </w:r>
      <w:r>
        <w:rPr>
          <w:rFonts w:asciiTheme="minorHAnsi" w:hAnsiTheme="minorHAnsi"/>
          <w:color w:val="000000"/>
          <w:sz w:val="24"/>
          <w:szCs w:val="24"/>
        </w:rPr>
        <w:instrText xml:space="preserve"> HYPERLINK "http://eur-lex.europa.eu/legal-content/EN/TXT/PDF/?uri=CELEX:02004L0039-20110104&amp;from=EN" \o "DIRECTIVE 2004/39/EC OF THE EUROPEAN PARLIAMENT AND OF THE COUNCIL on markets in financial instruments amending Council Directives 85/611/EEC and 93/6/EEC and Directive 2000/12/EC of the European Parliament and of the Council and repealing Council Directive 93/22/EEC" \t "_blank" </w:instrText>
      </w:r>
      <w:r>
        <w:rPr>
          <w:rFonts w:asciiTheme="minorHAnsi" w:hAnsiTheme="minorHAnsi"/>
          <w:color w:val="000000"/>
          <w:sz w:val="24"/>
          <w:szCs w:val="24"/>
        </w:rPr>
        <w:fldChar w:fldCharType="separate"/>
      </w:r>
      <w:r w:rsidRPr="00117A31">
        <w:rPr>
          <w:rStyle w:val="Hiperhivatkozs"/>
          <w:rFonts w:asciiTheme="minorHAnsi" w:hAnsiTheme="minorHAnsi"/>
          <w:sz w:val="24"/>
          <w:szCs w:val="24"/>
          <w:vertAlign w:val="baseline"/>
        </w:rPr>
        <w:t>DIRECTIVE 2004/39/EC OF THE EUROPEAN PARLIAMENT AND OF THE COUNCIL on markets in financial instruments amending Council Directives 85/611/EEC and 93/6/EEC and Directive 2000/12/EC of the European Parliament and of the Council and repealing Council Directive 93/22/EEC</w:t>
      </w:r>
    </w:p>
    <w:p w:rsidR="00117A31" w:rsidRPr="00117A31" w:rsidRDefault="00117A31" w:rsidP="00117A31">
      <w:pPr>
        <w:rPr>
          <w:rStyle w:val="Hiperhivatkozs"/>
          <w:rFonts w:asciiTheme="minorHAnsi" w:hAnsiTheme="minorHAnsi"/>
          <w:sz w:val="24"/>
          <w:szCs w:val="24"/>
          <w:vertAlign w:val="baseline"/>
        </w:rPr>
      </w:pPr>
      <w:r>
        <w:rPr>
          <w:rFonts w:asciiTheme="minorHAnsi" w:hAnsiTheme="minorHAnsi"/>
          <w:color w:val="000000"/>
          <w:sz w:val="24"/>
          <w:szCs w:val="24"/>
        </w:rPr>
        <w:fldChar w:fldCharType="end"/>
      </w:r>
      <w:r>
        <w:rPr>
          <w:rFonts w:asciiTheme="minorHAnsi" w:hAnsiTheme="minorHAnsi"/>
          <w:color w:val="000000"/>
          <w:sz w:val="24"/>
          <w:szCs w:val="24"/>
        </w:rPr>
        <w:fldChar w:fldCharType="begin"/>
      </w:r>
      <w:r>
        <w:rPr>
          <w:rFonts w:asciiTheme="minorHAnsi" w:hAnsiTheme="minorHAnsi"/>
          <w:color w:val="000000"/>
          <w:sz w:val="24"/>
          <w:szCs w:val="24"/>
        </w:rPr>
        <w:instrText xml:space="preserve"> HYPERLINK "http://eur-lex.europa.eu/legal-content/HU/TXT/PDF/?uri=CELEX:32014L0065&amp;from=EN" \o "AZ EURÓPAI PARLAMENT ÉS A TANÁCS 2014/65/EU IRÁNYELVE (2014. május 15.) a pénzügyi eszközök piacairól, valamint a 2002/92/EK irányelv és a 2011/61/EU irányelv módosításáról" \t "_blank" </w:instrText>
      </w:r>
      <w:r>
        <w:rPr>
          <w:rFonts w:asciiTheme="minorHAnsi" w:hAnsiTheme="minorHAnsi"/>
          <w:color w:val="000000"/>
          <w:sz w:val="24"/>
          <w:szCs w:val="24"/>
        </w:rPr>
        <w:fldChar w:fldCharType="separate"/>
      </w:r>
      <w:r w:rsidRPr="00117A31">
        <w:rPr>
          <w:rStyle w:val="Hiperhivatkozs"/>
          <w:rFonts w:asciiTheme="minorHAnsi" w:hAnsiTheme="minorHAnsi"/>
          <w:sz w:val="24"/>
          <w:szCs w:val="24"/>
          <w:vertAlign w:val="baseline"/>
        </w:rPr>
        <w:t xml:space="preserve">AZ EURÓPAI PARLAMENT </w:t>
      </w:r>
      <w:proofErr w:type="gramStart"/>
      <w:r w:rsidRPr="00117A31">
        <w:rPr>
          <w:rStyle w:val="Hiperhivatkozs"/>
          <w:rFonts w:asciiTheme="minorHAnsi" w:hAnsiTheme="minorHAnsi"/>
          <w:sz w:val="24"/>
          <w:szCs w:val="24"/>
          <w:vertAlign w:val="baseline"/>
        </w:rPr>
        <w:t>ÉS</w:t>
      </w:r>
      <w:proofErr w:type="gramEnd"/>
      <w:r w:rsidRPr="00117A31">
        <w:rPr>
          <w:rStyle w:val="Hiperhivatkozs"/>
          <w:rFonts w:asciiTheme="minorHAnsi" w:hAnsiTheme="minorHAnsi"/>
          <w:sz w:val="24"/>
          <w:szCs w:val="24"/>
          <w:vertAlign w:val="baseline"/>
        </w:rPr>
        <w:t xml:space="preserve"> A TANÁCS 2014/65/EU IRÁNYELVE (2014. május 15.) a pénzügyi es</w:t>
      </w:r>
      <w:r w:rsidRPr="00117A31">
        <w:rPr>
          <w:rStyle w:val="Hiperhivatkozs"/>
          <w:rFonts w:asciiTheme="minorHAnsi" w:hAnsiTheme="minorHAnsi"/>
          <w:sz w:val="24"/>
          <w:szCs w:val="24"/>
          <w:vertAlign w:val="baseline"/>
        </w:rPr>
        <w:t>z</w:t>
      </w:r>
      <w:r w:rsidRPr="00117A31">
        <w:rPr>
          <w:rStyle w:val="Hiperhivatkozs"/>
          <w:rFonts w:asciiTheme="minorHAnsi" w:hAnsiTheme="minorHAnsi"/>
          <w:sz w:val="24"/>
          <w:szCs w:val="24"/>
          <w:vertAlign w:val="baseline"/>
        </w:rPr>
        <w:t>közök piacairól, valamint a 2002/92/EK irányelv és a 2011/61/EU irányelv módosításáról</w:t>
      </w:r>
    </w:p>
    <w:p w:rsidR="00117A31" w:rsidRPr="00117A31" w:rsidRDefault="00117A31" w:rsidP="00117A31">
      <w:pPr>
        <w:rPr>
          <w:rStyle w:val="Hiperhivatkozs"/>
          <w:rFonts w:asciiTheme="minorHAnsi" w:hAnsiTheme="minorHAnsi"/>
          <w:sz w:val="24"/>
          <w:szCs w:val="24"/>
          <w:vertAlign w:val="baseline"/>
        </w:rPr>
      </w:pPr>
      <w:r>
        <w:rPr>
          <w:rFonts w:asciiTheme="minorHAnsi" w:hAnsiTheme="minorHAnsi"/>
          <w:color w:val="000000"/>
          <w:sz w:val="24"/>
          <w:szCs w:val="24"/>
        </w:rPr>
        <w:fldChar w:fldCharType="end"/>
      </w:r>
      <w:r>
        <w:rPr>
          <w:rFonts w:asciiTheme="minorHAnsi" w:hAnsiTheme="minorHAnsi"/>
          <w:color w:val="000000"/>
          <w:sz w:val="24"/>
          <w:szCs w:val="24"/>
        </w:rPr>
        <w:fldChar w:fldCharType="begin"/>
      </w:r>
      <w:r>
        <w:rPr>
          <w:rFonts w:asciiTheme="minorHAnsi" w:hAnsiTheme="minorHAnsi"/>
          <w:color w:val="000000"/>
          <w:sz w:val="24"/>
          <w:szCs w:val="24"/>
        </w:rPr>
        <w:instrText xml:space="preserve"> HYPERLINK "http://eur-lex.europa.eu/legal-content/EN/TXT/PDF/?uri=CELEX:32014L0065&amp;from=EN" \o "DIRECTIVE 2014/65/EU OF THE EUROPEAN PARLIAMENT AND OF THE COUNCIL on markets in financial instruments and amending Directive 2002/92/EC and Directive 2011/61/EU" \t "_blank" </w:instrText>
      </w:r>
      <w:r>
        <w:rPr>
          <w:rFonts w:asciiTheme="minorHAnsi" w:hAnsiTheme="minorHAnsi"/>
          <w:color w:val="000000"/>
          <w:sz w:val="24"/>
          <w:szCs w:val="24"/>
        </w:rPr>
        <w:fldChar w:fldCharType="separate"/>
      </w:r>
      <w:r w:rsidRPr="00117A31">
        <w:rPr>
          <w:rStyle w:val="Hiperhivatkozs"/>
          <w:rFonts w:asciiTheme="minorHAnsi" w:hAnsiTheme="minorHAnsi"/>
          <w:sz w:val="24"/>
          <w:szCs w:val="24"/>
          <w:vertAlign w:val="baseline"/>
        </w:rPr>
        <w:t>DIRECTIVE 2014/65/EU OF THE EUROPEAN PARLIAMENT AND OF THE COUNCIL on markets in financial instruments and amending Directive 2002/92/EC and Directive 2011/61/EU</w:t>
      </w:r>
    </w:p>
    <w:p w:rsidR="00117A31" w:rsidRPr="00117A31" w:rsidRDefault="00117A31" w:rsidP="00117A31">
      <w:pPr>
        <w:rPr>
          <w:rStyle w:val="Hiperhivatkozs"/>
          <w:rFonts w:asciiTheme="minorHAnsi" w:hAnsiTheme="minorHAnsi"/>
          <w:sz w:val="24"/>
          <w:szCs w:val="24"/>
          <w:vertAlign w:val="baseline"/>
        </w:rPr>
      </w:pPr>
      <w:r>
        <w:rPr>
          <w:rFonts w:asciiTheme="minorHAnsi" w:hAnsiTheme="minorHAnsi"/>
          <w:color w:val="000000"/>
          <w:sz w:val="24"/>
          <w:szCs w:val="24"/>
        </w:rPr>
        <w:fldChar w:fldCharType="end"/>
      </w:r>
      <w:r>
        <w:rPr>
          <w:rFonts w:asciiTheme="minorHAnsi" w:hAnsiTheme="minorHAnsi"/>
          <w:color w:val="000000"/>
          <w:sz w:val="24"/>
          <w:szCs w:val="24"/>
        </w:rPr>
        <w:fldChar w:fldCharType="begin"/>
      </w:r>
      <w:r>
        <w:rPr>
          <w:rFonts w:asciiTheme="minorHAnsi" w:hAnsiTheme="minorHAnsi"/>
          <w:color w:val="000000"/>
          <w:sz w:val="24"/>
          <w:szCs w:val="24"/>
        </w:rPr>
        <w:instrText xml:space="preserve"> HYPERLINK "http://eur-lex.europa.eu/legal-content/HU/TXT/PDF/?uri=CELEX:32014R0600&amp;from=EN" \o "AZ EURÓPAI PARLAMENT ÉS A TANÁCS 600/2014/EU RENDELETE (2014. május 15.) a pénzügyi eszközök piacairól és a 648/2012/EU rendelet módosításáról" \t "_blank" </w:instrText>
      </w:r>
      <w:r>
        <w:rPr>
          <w:rFonts w:asciiTheme="minorHAnsi" w:hAnsiTheme="minorHAnsi"/>
          <w:color w:val="000000"/>
          <w:sz w:val="24"/>
          <w:szCs w:val="24"/>
        </w:rPr>
        <w:fldChar w:fldCharType="separate"/>
      </w:r>
      <w:r w:rsidRPr="00117A31">
        <w:rPr>
          <w:rStyle w:val="Hiperhivatkozs"/>
          <w:rFonts w:asciiTheme="minorHAnsi" w:hAnsiTheme="minorHAnsi"/>
          <w:sz w:val="24"/>
          <w:szCs w:val="24"/>
          <w:vertAlign w:val="baseline"/>
        </w:rPr>
        <w:t xml:space="preserve">AZ EURÓPAI PARLAMENT </w:t>
      </w:r>
      <w:proofErr w:type="gramStart"/>
      <w:r w:rsidRPr="00117A31">
        <w:rPr>
          <w:rStyle w:val="Hiperhivatkozs"/>
          <w:rFonts w:asciiTheme="minorHAnsi" w:hAnsiTheme="minorHAnsi"/>
          <w:sz w:val="24"/>
          <w:szCs w:val="24"/>
          <w:vertAlign w:val="baseline"/>
        </w:rPr>
        <w:t>ÉS</w:t>
      </w:r>
      <w:proofErr w:type="gramEnd"/>
      <w:r w:rsidRPr="00117A31">
        <w:rPr>
          <w:rStyle w:val="Hiperhivatkozs"/>
          <w:rFonts w:asciiTheme="minorHAnsi" w:hAnsiTheme="minorHAnsi"/>
          <w:sz w:val="24"/>
          <w:szCs w:val="24"/>
          <w:vertAlign w:val="baseline"/>
        </w:rPr>
        <w:t xml:space="preserve"> A TANÁCS 600/2014/EU RENDELETE (2014. május 15.) a pénzügyi eszközök piacairól és a 648/2012/EU rendelet módosításáról</w:t>
      </w:r>
    </w:p>
    <w:p w:rsidR="00117A31" w:rsidRPr="00117A31" w:rsidRDefault="00117A31" w:rsidP="00117A31">
      <w:pPr>
        <w:rPr>
          <w:rStyle w:val="Hiperhivatkozs"/>
          <w:rFonts w:asciiTheme="minorHAnsi" w:hAnsiTheme="minorHAnsi"/>
          <w:sz w:val="24"/>
          <w:szCs w:val="24"/>
          <w:vertAlign w:val="baseline"/>
        </w:rPr>
      </w:pPr>
      <w:r>
        <w:rPr>
          <w:rFonts w:asciiTheme="minorHAnsi" w:hAnsiTheme="minorHAnsi"/>
          <w:color w:val="000000"/>
          <w:sz w:val="24"/>
          <w:szCs w:val="24"/>
        </w:rPr>
        <w:fldChar w:fldCharType="end"/>
      </w:r>
      <w:r>
        <w:rPr>
          <w:rFonts w:asciiTheme="minorHAnsi" w:hAnsiTheme="minorHAnsi"/>
          <w:color w:val="000000"/>
          <w:sz w:val="24"/>
          <w:szCs w:val="24"/>
        </w:rPr>
        <w:fldChar w:fldCharType="begin"/>
      </w:r>
      <w:r>
        <w:rPr>
          <w:rFonts w:asciiTheme="minorHAnsi" w:hAnsiTheme="minorHAnsi"/>
          <w:color w:val="000000"/>
          <w:sz w:val="24"/>
          <w:szCs w:val="24"/>
        </w:rPr>
        <w:instrText xml:space="preserve"> HYPERLINK "http://eur-lex.europa.eu/legal-content/EN/TXT/PDF/?uri=CELEX:32014R0600&amp;from=EN" \o "REGULATION (EU) No 600/2014 OF THE EUROPEAN PARLIAMENT AND OF THE COUNCIL of 15 May 2014 on markets in financial instruments and amending Regulation (EU) No 648/2012" \t "_blank" </w:instrText>
      </w:r>
      <w:r>
        <w:rPr>
          <w:rFonts w:asciiTheme="minorHAnsi" w:hAnsiTheme="minorHAnsi"/>
          <w:color w:val="000000"/>
          <w:sz w:val="24"/>
          <w:szCs w:val="24"/>
        </w:rPr>
        <w:fldChar w:fldCharType="separate"/>
      </w:r>
      <w:r w:rsidRPr="00117A31">
        <w:rPr>
          <w:rStyle w:val="Hiperhivatkozs"/>
          <w:rFonts w:asciiTheme="minorHAnsi" w:hAnsiTheme="minorHAnsi"/>
          <w:sz w:val="24"/>
          <w:szCs w:val="24"/>
          <w:vertAlign w:val="baseline"/>
        </w:rPr>
        <w:t xml:space="preserve">REGULATION (EU) </w:t>
      </w:r>
      <w:proofErr w:type="gramStart"/>
      <w:r w:rsidRPr="00117A31">
        <w:rPr>
          <w:rStyle w:val="Hiperhivatkozs"/>
          <w:rFonts w:asciiTheme="minorHAnsi" w:hAnsiTheme="minorHAnsi"/>
          <w:sz w:val="24"/>
          <w:szCs w:val="24"/>
          <w:vertAlign w:val="baseline"/>
        </w:rPr>
        <w:t>No</w:t>
      </w:r>
      <w:proofErr w:type="gramEnd"/>
      <w:r w:rsidRPr="00117A31">
        <w:rPr>
          <w:rStyle w:val="Hiperhivatkozs"/>
          <w:rFonts w:asciiTheme="minorHAnsi" w:hAnsiTheme="minorHAnsi"/>
          <w:sz w:val="24"/>
          <w:szCs w:val="24"/>
          <w:vertAlign w:val="baseline"/>
        </w:rPr>
        <w:t xml:space="preserve"> 600/2014 OF THE EUROPEAN PARLIAMENT AND OF THE COUNCIL of 15 May 2014 on markets in financial instruments and amending Regulation (EU) No 648/2012</w:t>
      </w:r>
    </w:p>
    <w:p w:rsidR="00117A31" w:rsidRPr="00117A31" w:rsidRDefault="00117A31" w:rsidP="00117A31">
      <w:pPr>
        <w:rPr>
          <w:rStyle w:val="Hiperhivatkozs"/>
          <w:rFonts w:asciiTheme="minorHAnsi" w:hAnsiTheme="minorHAnsi"/>
          <w:sz w:val="24"/>
          <w:szCs w:val="24"/>
          <w:vertAlign w:val="baseline"/>
        </w:rPr>
      </w:pPr>
      <w:r>
        <w:rPr>
          <w:rFonts w:asciiTheme="minorHAnsi" w:hAnsiTheme="minorHAnsi"/>
          <w:color w:val="000000"/>
          <w:sz w:val="24"/>
          <w:szCs w:val="24"/>
        </w:rPr>
        <w:fldChar w:fldCharType="end"/>
      </w:r>
      <w:r>
        <w:rPr>
          <w:rFonts w:asciiTheme="minorHAnsi" w:hAnsiTheme="minorHAnsi"/>
          <w:sz w:val="24"/>
          <w:szCs w:val="24"/>
        </w:rPr>
        <w:fldChar w:fldCharType="begin"/>
      </w:r>
      <w:r>
        <w:rPr>
          <w:rFonts w:asciiTheme="minorHAnsi" w:hAnsiTheme="minorHAnsi"/>
          <w:sz w:val="24"/>
          <w:szCs w:val="24"/>
        </w:rPr>
        <w:instrText xml:space="preserve"> HYPERLINK "http://www.esma.europa.eu/system/files/2015-esma-1464_-_final_report_-_draft_rts_and_its_on_mifid_ii_and_mifir.pdf" \o "DIRECTIVE 2004/39/EC OF THE EUROPEAN PARLIAMENT AND OF THE COUNCIL on markets in financial instruments amending Council Directives 85/611/EEC and 93/6/EEC and Directive 2000/12/EC of the European Parliament and of the Council and repealing Council Directive 93/22/EEC" \t "_blank" </w:instrText>
      </w:r>
      <w:r>
        <w:rPr>
          <w:rFonts w:asciiTheme="minorHAnsi" w:hAnsiTheme="minorHAnsi"/>
          <w:sz w:val="24"/>
          <w:szCs w:val="24"/>
        </w:rPr>
        <w:fldChar w:fldCharType="separate"/>
      </w:r>
      <w:r w:rsidRPr="00117A31">
        <w:rPr>
          <w:rStyle w:val="Hiperhivatkozs"/>
          <w:rFonts w:asciiTheme="minorHAnsi" w:hAnsiTheme="minorHAnsi"/>
          <w:sz w:val="24"/>
          <w:szCs w:val="24"/>
          <w:vertAlign w:val="baseline"/>
        </w:rPr>
        <w:t>European Securities and Markets Authority: Final Report on Draft Regulatory and Implementing Technical Standards MiFID II/MiFIR (28 September 2015 | ESMA/2015/1464)</w:t>
      </w:r>
    </w:p>
    <w:p w:rsidR="00117A31" w:rsidRPr="00117A31" w:rsidRDefault="00117A31" w:rsidP="00117A31">
      <w:pPr>
        <w:rPr>
          <w:rFonts w:asciiTheme="minorHAnsi" w:hAnsiTheme="minorHAnsi"/>
          <w:b/>
          <w:sz w:val="24"/>
          <w:szCs w:val="24"/>
        </w:rPr>
      </w:pPr>
      <w:r>
        <w:rPr>
          <w:rFonts w:asciiTheme="minorHAnsi" w:hAnsiTheme="minorHAnsi"/>
          <w:sz w:val="24"/>
          <w:szCs w:val="24"/>
        </w:rPr>
        <w:fldChar w:fldCharType="end"/>
      </w:r>
    </w:p>
    <w:sectPr w:rsidR="00117A31" w:rsidRPr="00117A31" w:rsidSect="00CD6E8D">
      <w:headerReference w:type="default" r:id="rId9"/>
      <w:footerReference w:type="default" r:id="rId1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1F5" w:rsidRDefault="00A631F5">
      <w:r>
        <w:separator/>
      </w:r>
    </w:p>
  </w:endnote>
  <w:endnote w:type="continuationSeparator" w:id="0">
    <w:p w:rsidR="00A631F5" w:rsidRDefault="00A6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3CF" w:rsidRPr="00AC6950" w:rsidRDefault="00D433CF"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sidR="007F1BE1">
      <w:rPr>
        <w:noProof/>
        <w:sz w:val="18"/>
        <w:szCs w:val="18"/>
      </w:rPr>
      <w:t>13</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sidR="007F1BE1">
      <w:rPr>
        <w:noProof/>
        <w:sz w:val="18"/>
        <w:szCs w:val="18"/>
      </w:rPr>
      <w:t>13</w:t>
    </w:r>
    <w:r w:rsidRPr="00AC695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1F5" w:rsidRDefault="00A631F5">
      <w:r>
        <w:separator/>
      </w:r>
    </w:p>
  </w:footnote>
  <w:footnote w:type="continuationSeparator" w:id="0">
    <w:p w:rsidR="00A631F5" w:rsidRDefault="00A631F5">
      <w:r>
        <w:continuationSeparator/>
      </w:r>
    </w:p>
  </w:footnote>
  <w:footnote w:id="1">
    <w:p w:rsidR="00CF59A4" w:rsidRDefault="00CF59A4">
      <w:pPr>
        <w:pStyle w:val="Lbjegyzetszveg"/>
      </w:pPr>
      <w:r>
        <w:rPr>
          <w:rStyle w:val="Lbjegyzet-hivatkozs"/>
        </w:rPr>
        <w:footnoteRef/>
      </w:r>
      <w:r>
        <w:t xml:space="preserve"> </w:t>
      </w:r>
      <w:r w:rsidRPr="00CF59A4">
        <w:t xml:space="preserve">AZ EURÓPAI PARLAMENT </w:t>
      </w:r>
      <w:proofErr w:type="gramStart"/>
      <w:r w:rsidRPr="00CF59A4">
        <w:t>ÉS</w:t>
      </w:r>
      <w:proofErr w:type="gramEnd"/>
      <w:r w:rsidRPr="00CF59A4">
        <w:t xml:space="preserve"> A TANÁCS 648/2012/EU RENDELETE</w:t>
      </w:r>
    </w:p>
  </w:footnote>
  <w:footnote w:id="2">
    <w:p w:rsidR="002A7305" w:rsidRDefault="002A7305">
      <w:pPr>
        <w:pStyle w:val="Lbjegyzetszveg"/>
      </w:pPr>
      <w:r>
        <w:rPr>
          <w:rStyle w:val="Lbjegyzet-hivatkozs"/>
        </w:rPr>
        <w:footnoteRef/>
      </w:r>
      <w:r>
        <w:t xml:space="preserve"> </w:t>
      </w:r>
      <w:r w:rsidRPr="002A7305">
        <w:t>Természetesen amennyiben az ügyfél konkrét utasítást ad, a befektetési vállalkozásnak az utasítást követve kell a megbízást végrehajtania.</w:t>
      </w:r>
    </w:p>
  </w:footnote>
  <w:footnote w:id="3">
    <w:p w:rsidR="00D433CF" w:rsidRDefault="00D433CF" w:rsidP="00593944">
      <w:pPr>
        <w:pStyle w:val="Lbjegyzetszveg"/>
      </w:pPr>
      <w:r>
        <w:rPr>
          <w:rStyle w:val="Lbjegyzet-hivatkozs"/>
        </w:rPr>
        <w:footnoteRef/>
      </w:r>
      <w:r>
        <w:t xml:space="preserve"> </w:t>
      </w:r>
      <w:proofErr w:type="gramStart"/>
      <w:r>
        <w:t>ezeket</w:t>
      </w:r>
      <w:proofErr w:type="gramEnd"/>
      <w:r>
        <w:t xml:space="preserve"> a 25</w:t>
      </w:r>
      <w:r w:rsidRPr="006C500F">
        <w:t xml:space="preserve">. cikk (4) </w:t>
      </w:r>
      <w:r>
        <w:t>bekezdésében kivételként említi</w:t>
      </w:r>
    </w:p>
  </w:footnote>
  <w:footnote w:id="4">
    <w:p w:rsidR="00D433CF" w:rsidRDefault="00D433CF" w:rsidP="00593944">
      <w:pPr>
        <w:pStyle w:val="Lbjegyzetszveg"/>
      </w:pPr>
      <w:r>
        <w:rPr>
          <w:rStyle w:val="Lbjegyzet-hivatkozs"/>
        </w:rPr>
        <w:footnoteRef/>
      </w:r>
      <w:r>
        <w:t xml:space="preserve"> „</w:t>
      </w:r>
      <w:r w:rsidRPr="00BF55AD">
        <w:t xml:space="preserve">A </w:t>
      </w:r>
      <w:r w:rsidRPr="00BF55AD">
        <w:rPr>
          <w:b/>
        </w:rPr>
        <w:t>gyakoriság és rendszeresség</w:t>
      </w:r>
      <w:r w:rsidRPr="00BF55AD">
        <w:t xml:space="preserve"> teljesülését azon tőzsdén kívüli kötések számával kell mérni, amelyeket a befektetési vállalkozás az adott pén</w:t>
      </w:r>
      <w:r w:rsidRPr="00BF55AD">
        <w:t>z</w:t>
      </w:r>
      <w:r w:rsidRPr="00BF55AD">
        <w:t xml:space="preserve">ügyi eszközt illetően az ügyfélmegbízások végrehajtásakor saját számlára teljesít. A </w:t>
      </w:r>
      <w:r w:rsidRPr="00BF55AD">
        <w:rPr>
          <w:b/>
        </w:rPr>
        <w:t>jelentős nagyságrendet</w:t>
      </w:r>
      <w:r w:rsidRPr="00BF55AD">
        <w:t xml:space="preserve"> vagy a befektetési vállalkozás által egy adott pénzügyi eszköz tekintetében végzett tőzsdén kívüli kereskedésnek az összes kereskedéshez viszonyított méretével vagy az adott pénzügyi eszközt illetően a befektetési vállalkozás által végzett tőzsdén kívüli kereskedésnek az Unión belüli összes kereskedéshez viszonyított méretével kell mérni.</w:t>
      </w:r>
      <w:r>
        <w:t>”</w:t>
      </w:r>
    </w:p>
  </w:footnote>
  <w:footnote w:id="5">
    <w:p w:rsidR="00D433CF" w:rsidRDefault="00D433CF" w:rsidP="00593944">
      <w:pPr>
        <w:pStyle w:val="Lbjegyzetszveg"/>
      </w:pPr>
      <w:r>
        <w:rPr>
          <w:rStyle w:val="Lbjegyzet-hivatkozs"/>
        </w:rPr>
        <w:footnoteRef/>
      </w:r>
      <w:r>
        <w:t xml:space="preserve"> </w:t>
      </w:r>
      <w:r w:rsidRPr="00D10924">
        <w:t>Az illetékes hatóságok megállapíthatnak mentességet a közzétételi kötelezettség alól, annak érdekében azonban, hogy a mentességek alkalm</w:t>
      </w:r>
      <w:r w:rsidRPr="00D10924">
        <w:t>a</w:t>
      </w:r>
      <w:r w:rsidRPr="00D10924">
        <w:t>zása ne legyen indokolatlanul kedvezőtlen hatással az árképzésre, a mentességek alapján folyó kereskedésre a rendelet volumenkorlátozási me</w:t>
      </w:r>
      <w:r w:rsidRPr="00D10924">
        <w:t>c</w:t>
      </w:r>
      <w:r w:rsidRPr="00D10924">
        <w:t>hanizmusokat állít fel.</w:t>
      </w:r>
    </w:p>
  </w:footnote>
  <w:footnote w:id="6">
    <w:p w:rsidR="00D433CF" w:rsidRDefault="00D433CF" w:rsidP="00593944">
      <w:pPr>
        <w:pStyle w:val="Lbjegyzetszveg"/>
      </w:pPr>
      <w:r>
        <w:rPr>
          <w:rStyle w:val="Lbjegyzet-hivatkozs"/>
        </w:rPr>
        <w:footnoteRef/>
      </w:r>
      <w:r>
        <w:t xml:space="preserve"> </w:t>
      </w:r>
      <w:r w:rsidRPr="0057618C">
        <w:t>A CCP megkülönböztetésmentes hozzáférhetősége azt jelenti, hogy a kereskedési helyszínnek joga van a megkülönböztetésmentes bánásmó</w:t>
      </w:r>
      <w:r w:rsidRPr="0057618C">
        <w:t>d</w:t>
      </w:r>
      <w:r w:rsidRPr="0057618C">
        <w:t>hoz abból a szempontból, hogy a platformján kereskedett szerződéseket hogyan kezelik a biztosítéki követelmények, a gazdasági szempontból egyenértékű szerződések nettósítása, valamint az ugyanazon CCP által elszámolt összefüggő szerződések letéteinek egymással szembeni beszám</w:t>
      </w:r>
      <w:r w:rsidRPr="0057618C">
        <w:t>í</w:t>
      </w:r>
      <w:r w:rsidRPr="0057618C">
        <w:t>tására és a megkülönböztetésmentes elszámolási díjak tekintetében.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3CF" w:rsidRPr="00AC6950" w:rsidRDefault="00D433CF" w:rsidP="008349B3">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2C68"/>
    <w:multiLevelType w:val="hybridMultilevel"/>
    <w:tmpl w:val="58C889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CCB5981"/>
    <w:multiLevelType w:val="hybridMultilevel"/>
    <w:tmpl w:val="F16426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E253B15"/>
    <w:multiLevelType w:val="multilevel"/>
    <w:tmpl w:val="E8AEFF86"/>
    <w:styleLink w:val="Style1"/>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nsid w:val="29FF437A"/>
    <w:multiLevelType w:val="hybridMultilevel"/>
    <w:tmpl w:val="662C12BC"/>
    <w:lvl w:ilvl="0" w:tplc="4FB09AC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nsid w:val="2B98229F"/>
    <w:multiLevelType w:val="multilevel"/>
    <w:tmpl w:val="6310D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8C66E8"/>
    <w:multiLevelType w:val="hybridMultilevel"/>
    <w:tmpl w:val="52562992"/>
    <w:lvl w:ilvl="0" w:tplc="1B88AE36">
      <w:start w:val="1"/>
      <w:numFmt w:val="bullet"/>
      <w:pStyle w:val="Listaszerbekezds"/>
      <w:lvlText w:val=""/>
      <w:lvlJc w:val="left"/>
      <w:pPr>
        <w:ind w:left="720" w:hanging="360"/>
      </w:pPr>
      <w:rPr>
        <w:rFonts w:ascii="Symbol" w:hAnsi="Symbol" w:hint="default"/>
        <w:b/>
        <w:color w:val="202653" w:themeColor="accent5"/>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pStyle w:val="Listaszerbekezds3szin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202653"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2"/>
  </w:num>
  <w:num w:numId="6">
    <w:abstractNumId w:val="10"/>
  </w:num>
  <w:num w:numId="7">
    <w:abstractNumId w:val="4"/>
  </w:num>
  <w:num w:numId="8">
    <w:abstractNumId w:val="11"/>
  </w:num>
  <w:num w:numId="9">
    <w:abstractNumId w:val="10"/>
    <w:lvlOverride w:ilvl="0">
      <w:startOverride w:val="1"/>
    </w:lvlOverride>
  </w:num>
  <w:num w:numId="10">
    <w:abstractNumId w:val="5"/>
  </w:num>
  <w:num w:numId="11">
    <w:abstractNumId w:val="7"/>
  </w:num>
  <w:num w:numId="12">
    <w:abstractNumId w:val="9"/>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44"/>
    <w:rsid w:val="0000273C"/>
    <w:rsid w:val="000105B3"/>
    <w:rsid w:val="00017B1B"/>
    <w:rsid w:val="0002498B"/>
    <w:rsid w:val="000250E6"/>
    <w:rsid w:val="00027695"/>
    <w:rsid w:val="00027B62"/>
    <w:rsid w:val="00033357"/>
    <w:rsid w:val="00035697"/>
    <w:rsid w:val="0005577F"/>
    <w:rsid w:val="00060148"/>
    <w:rsid w:val="00063216"/>
    <w:rsid w:val="0006374F"/>
    <w:rsid w:val="00064546"/>
    <w:rsid w:val="00067BE2"/>
    <w:rsid w:val="00067C0C"/>
    <w:rsid w:val="0008131E"/>
    <w:rsid w:val="00081934"/>
    <w:rsid w:val="000831EC"/>
    <w:rsid w:val="00087E97"/>
    <w:rsid w:val="000A3A63"/>
    <w:rsid w:val="000A71F3"/>
    <w:rsid w:val="000C2918"/>
    <w:rsid w:val="000C2DCF"/>
    <w:rsid w:val="000C701E"/>
    <w:rsid w:val="000C701F"/>
    <w:rsid w:val="000D1C8B"/>
    <w:rsid w:val="000D1E44"/>
    <w:rsid w:val="000D40AE"/>
    <w:rsid w:val="000D4F61"/>
    <w:rsid w:val="000D5944"/>
    <w:rsid w:val="000D5F26"/>
    <w:rsid w:val="000D6950"/>
    <w:rsid w:val="000E2CBD"/>
    <w:rsid w:val="000E4EE3"/>
    <w:rsid w:val="000F2858"/>
    <w:rsid w:val="000F2AE0"/>
    <w:rsid w:val="000F30B8"/>
    <w:rsid w:val="000F68FE"/>
    <w:rsid w:val="00101654"/>
    <w:rsid w:val="0010447E"/>
    <w:rsid w:val="0010496C"/>
    <w:rsid w:val="00110868"/>
    <w:rsid w:val="00113C88"/>
    <w:rsid w:val="00117A31"/>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97CB3"/>
    <w:rsid w:val="001A2BAA"/>
    <w:rsid w:val="001B3486"/>
    <w:rsid w:val="001C0FAA"/>
    <w:rsid w:val="001C24F1"/>
    <w:rsid w:val="001C466F"/>
    <w:rsid w:val="001C5C33"/>
    <w:rsid w:val="001C729E"/>
    <w:rsid w:val="001D4211"/>
    <w:rsid w:val="001D5999"/>
    <w:rsid w:val="001D59FD"/>
    <w:rsid w:val="001D60A8"/>
    <w:rsid w:val="001D7401"/>
    <w:rsid w:val="001E34FF"/>
    <w:rsid w:val="001E4231"/>
    <w:rsid w:val="001E621D"/>
    <w:rsid w:val="001F0E5D"/>
    <w:rsid w:val="001F1610"/>
    <w:rsid w:val="001F7062"/>
    <w:rsid w:val="002012AD"/>
    <w:rsid w:val="00206642"/>
    <w:rsid w:val="00214230"/>
    <w:rsid w:val="0021484C"/>
    <w:rsid w:val="0022056B"/>
    <w:rsid w:val="0022764E"/>
    <w:rsid w:val="00240C97"/>
    <w:rsid w:val="0024525F"/>
    <w:rsid w:val="00250112"/>
    <w:rsid w:val="002522F1"/>
    <w:rsid w:val="002602F5"/>
    <w:rsid w:val="002611AE"/>
    <w:rsid w:val="0026180A"/>
    <w:rsid w:val="00270724"/>
    <w:rsid w:val="00271371"/>
    <w:rsid w:val="00273052"/>
    <w:rsid w:val="0027402D"/>
    <w:rsid w:val="002866DE"/>
    <w:rsid w:val="00287D15"/>
    <w:rsid w:val="00290D47"/>
    <w:rsid w:val="00292177"/>
    <w:rsid w:val="002A3B0E"/>
    <w:rsid w:val="002A7305"/>
    <w:rsid w:val="002B3674"/>
    <w:rsid w:val="002B4D45"/>
    <w:rsid w:val="002B6B78"/>
    <w:rsid w:val="002B6D25"/>
    <w:rsid w:val="002B78E0"/>
    <w:rsid w:val="002C728F"/>
    <w:rsid w:val="002C7AB8"/>
    <w:rsid w:val="002C7D4D"/>
    <w:rsid w:val="002C7DD0"/>
    <w:rsid w:val="002D5820"/>
    <w:rsid w:val="002D5E55"/>
    <w:rsid w:val="002F34ED"/>
    <w:rsid w:val="002F602F"/>
    <w:rsid w:val="00300EE3"/>
    <w:rsid w:val="00302136"/>
    <w:rsid w:val="00313246"/>
    <w:rsid w:val="003231ED"/>
    <w:rsid w:val="00327A74"/>
    <w:rsid w:val="003308AD"/>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11B4"/>
    <w:rsid w:val="003C5699"/>
    <w:rsid w:val="003D04DD"/>
    <w:rsid w:val="003D2AC7"/>
    <w:rsid w:val="003D52BC"/>
    <w:rsid w:val="003F128A"/>
    <w:rsid w:val="00412F67"/>
    <w:rsid w:val="0041484F"/>
    <w:rsid w:val="00417557"/>
    <w:rsid w:val="00423D50"/>
    <w:rsid w:val="0043276D"/>
    <w:rsid w:val="004330EA"/>
    <w:rsid w:val="00434DC6"/>
    <w:rsid w:val="00442ABF"/>
    <w:rsid w:val="004451FE"/>
    <w:rsid w:val="00452EA9"/>
    <w:rsid w:val="00453087"/>
    <w:rsid w:val="00455A38"/>
    <w:rsid w:val="00465939"/>
    <w:rsid w:val="0047029F"/>
    <w:rsid w:val="004729CE"/>
    <w:rsid w:val="00474131"/>
    <w:rsid w:val="0048183A"/>
    <w:rsid w:val="00491483"/>
    <w:rsid w:val="004919C2"/>
    <w:rsid w:val="00493F48"/>
    <w:rsid w:val="00494C89"/>
    <w:rsid w:val="004A58E3"/>
    <w:rsid w:val="004A5F09"/>
    <w:rsid w:val="004B1A68"/>
    <w:rsid w:val="004C1AFA"/>
    <w:rsid w:val="004D270F"/>
    <w:rsid w:val="004D455D"/>
    <w:rsid w:val="004D5F37"/>
    <w:rsid w:val="004D7635"/>
    <w:rsid w:val="004E2BA2"/>
    <w:rsid w:val="004F1BAA"/>
    <w:rsid w:val="004F42D5"/>
    <w:rsid w:val="004F72B9"/>
    <w:rsid w:val="0050045B"/>
    <w:rsid w:val="00501172"/>
    <w:rsid w:val="00503A99"/>
    <w:rsid w:val="00504E21"/>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93944"/>
    <w:rsid w:val="00597D6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27BA"/>
    <w:rsid w:val="00642A07"/>
    <w:rsid w:val="00643529"/>
    <w:rsid w:val="00643CB4"/>
    <w:rsid w:val="00644BE4"/>
    <w:rsid w:val="0067570F"/>
    <w:rsid w:val="00681108"/>
    <w:rsid w:val="00690C97"/>
    <w:rsid w:val="0069441B"/>
    <w:rsid w:val="006A54BA"/>
    <w:rsid w:val="006A66EB"/>
    <w:rsid w:val="006B0392"/>
    <w:rsid w:val="006B2726"/>
    <w:rsid w:val="006C2C3D"/>
    <w:rsid w:val="006C4871"/>
    <w:rsid w:val="006C700F"/>
    <w:rsid w:val="006D0881"/>
    <w:rsid w:val="006D3867"/>
    <w:rsid w:val="006E45F8"/>
    <w:rsid w:val="006E5F78"/>
    <w:rsid w:val="006F0376"/>
    <w:rsid w:val="006F39C8"/>
    <w:rsid w:val="006F5D02"/>
    <w:rsid w:val="006F6144"/>
    <w:rsid w:val="006F7F5B"/>
    <w:rsid w:val="0070168B"/>
    <w:rsid w:val="00702E90"/>
    <w:rsid w:val="00703E97"/>
    <w:rsid w:val="00707C38"/>
    <w:rsid w:val="007236B8"/>
    <w:rsid w:val="0072398E"/>
    <w:rsid w:val="00732D87"/>
    <w:rsid w:val="00737660"/>
    <w:rsid w:val="007376E0"/>
    <w:rsid w:val="00744A1F"/>
    <w:rsid w:val="00746D82"/>
    <w:rsid w:val="007474DD"/>
    <w:rsid w:val="00747A5C"/>
    <w:rsid w:val="00754A11"/>
    <w:rsid w:val="0075514D"/>
    <w:rsid w:val="00767D3F"/>
    <w:rsid w:val="00774306"/>
    <w:rsid w:val="00782B80"/>
    <w:rsid w:val="00786EF4"/>
    <w:rsid w:val="00791092"/>
    <w:rsid w:val="007913EE"/>
    <w:rsid w:val="00792C7B"/>
    <w:rsid w:val="00793C10"/>
    <w:rsid w:val="00795608"/>
    <w:rsid w:val="007A2BE7"/>
    <w:rsid w:val="007B1174"/>
    <w:rsid w:val="007B39B9"/>
    <w:rsid w:val="007B7FC8"/>
    <w:rsid w:val="007D3467"/>
    <w:rsid w:val="007D67A3"/>
    <w:rsid w:val="007D7E92"/>
    <w:rsid w:val="007E0286"/>
    <w:rsid w:val="007F197C"/>
    <w:rsid w:val="007F1BE1"/>
    <w:rsid w:val="007F1D57"/>
    <w:rsid w:val="007F7E59"/>
    <w:rsid w:val="00814B0C"/>
    <w:rsid w:val="00823B7E"/>
    <w:rsid w:val="0083252A"/>
    <w:rsid w:val="008349B3"/>
    <w:rsid w:val="008370C0"/>
    <w:rsid w:val="00840065"/>
    <w:rsid w:val="00844283"/>
    <w:rsid w:val="0084582F"/>
    <w:rsid w:val="00847297"/>
    <w:rsid w:val="00847C0A"/>
    <w:rsid w:val="008512C4"/>
    <w:rsid w:val="008528A0"/>
    <w:rsid w:val="00860131"/>
    <w:rsid w:val="00860860"/>
    <w:rsid w:val="00864468"/>
    <w:rsid w:val="00866547"/>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73149"/>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631F5"/>
    <w:rsid w:val="00A77604"/>
    <w:rsid w:val="00A800A3"/>
    <w:rsid w:val="00A8495F"/>
    <w:rsid w:val="00A917E0"/>
    <w:rsid w:val="00A94C01"/>
    <w:rsid w:val="00AA7D28"/>
    <w:rsid w:val="00AB3E83"/>
    <w:rsid w:val="00AB5B26"/>
    <w:rsid w:val="00AB7DBF"/>
    <w:rsid w:val="00AC6950"/>
    <w:rsid w:val="00AE3CD1"/>
    <w:rsid w:val="00AE41D5"/>
    <w:rsid w:val="00AE4D73"/>
    <w:rsid w:val="00AE71A0"/>
    <w:rsid w:val="00AF0446"/>
    <w:rsid w:val="00AF1C92"/>
    <w:rsid w:val="00AF7B9B"/>
    <w:rsid w:val="00B06F8B"/>
    <w:rsid w:val="00B15880"/>
    <w:rsid w:val="00B25C26"/>
    <w:rsid w:val="00B261BA"/>
    <w:rsid w:val="00B3064A"/>
    <w:rsid w:val="00B3473A"/>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A2A45"/>
    <w:rsid w:val="00BB27C2"/>
    <w:rsid w:val="00BB7D50"/>
    <w:rsid w:val="00BD0575"/>
    <w:rsid w:val="00BD12AC"/>
    <w:rsid w:val="00BD29BB"/>
    <w:rsid w:val="00BD75B8"/>
    <w:rsid w:val="00BE125E"/>
    <w:rsid w:val="00BE5440"/>
    <w:rsid w:val="00BE5843"/>
    <w:rsid w:val="00BF0359"/>
    <w:rsid w:val="00BF3AF0"/>
    <w:rsid w:val="00C01E8F"/>
    <w:rsid w:val="00C0457A"/>
    <w:rsid w:val="00C0501F"/>
    <w:rsid w:val="00C06F2F"/>
    <w:rsid w:val="00C07885"/>
    <w:rsid w:val="00C136F8"/>
    <w:rsid w:val="00C146F6"/>
    <w:rsid w:val="00C1563C"/>
    <w:rsid w:val="00C17469"/>
    <w:rsid w:val="00C20799"/>
    <w:rsid w:val="00C22FB8"/>
    <w:rsid w:val="00C31F64"/>
    <w:rsid w:val="00C34C72"/>
    <w:rsid w:val="00C43AC5"/>
    <w:rsid w:val="00C51EB6"/>
    <w:rsid w:val="00C522BD"/>
    <w:rsid w:val="00C63F2A"/>
    <w:rsid w:val="00C64F11"/>
    <w:rsid w:val="00C7088D"/>
    <w:rsid w:val="00C907C0"/>
    <w:rsid w:val="00C93837"/>
    <w:rsid w:val="00CA398B"/>
    <w:rsid w:val="00CC4CB1"/>
    <w:rsid w:val="00CD36BC"/>
    <w:rsid w:val="00CD6E8D"/>
    <w:rsid w:val="00CD724F"/>
    <w:rsid w:val="00CE188C"/>
    <w:rsid w:val="00CF148C"/>
    <w:rsid w:val="00CF59A4"/>
    <w:rsid w:val="00D00D53"/>
    <w:rsid w:val="00D02170"/>
    <w:rsid w:val="00D03058"/>
    <w:rsid w:val="00D03C4D"/>
    <w:rsid w:val="00D04398"/>
    <w:rsid w:val="00D04AF6"/>
    <w:rsid w:val="00D0775C"/>
    <w:rsid w:val="00D11D8B"/>
    <w:rsid w:val="00D144FA"/>
    <w:rsid w:val="00D21043"/>
    <w:rsid w:val="00D265EF"/>
    <w:rsid w:val="00D2761D"/>
    <w:rsid w:val="00D33037"/>
    <w:rsid w:val="00D433CF"/>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0B42"/>
    <w:rsid w:val="00DB127D"/>
    <w:rsid w:val="00DC2DF6"/>
    <w:rsid w:val="00DD62AD"/>
    <w:rsid w:val="00DD7153"/>
    <w:rsid w:val="00DF4F58"/>
    <w:rsid w:val="00E11F2F"/>
    <w:rsid w:val="00E13A3A"/>
    <w:rsid w:val="00E14CD2"/>
    <w:rsid w:val="00E301AE"/>
    <w:rsid w:val="00E315BC"/>
    <w:rsid w:val="00E33610"/>
    <w:rsid w:val="00E35139"/>
    <w:rsid w:val="00E4294F"/>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5AC"/>
    <w:rsid w:val="00ED10E2"/>
    <w:rsid w:val="00EE13DF"/>
    <w:rsid w:val="00EE4050"/>
    <w:rsid w:val="00EE4149"/>
    <w:rsid w:val="00F04E3E"/>
    <w:rsid w:val="00F07F81"/>
    <w:rsid w:val="00F10771"/>
    <w:rsid w:val="00F205E5"/>
    <w:rsid w:val="00F27CD8"/>
    <w:rsid w:val="00F5099C"/>
    <w:rsid w:val="00F512A3"/>
    <w:rsid w:val="00F51AB4"/>
    <w:rsid w:val="00F523A8"/>
    <w:rsid w:val="00F54723"/>
    <w:rsid w:val="00F57359"/>
    <w:rsid w:val="00F57AF5"/>
    <w:rsid w:val="00F60A86"/>
    <w:rsid w:val="00F62B87"/>
    <w:rsid w:val="00F6351B"/>
    <w:rsid w:val="00F65208"/>
    <w:rsid w:val="00F67BE6"/>
    <w:rsid w:val="00F702E1"/>
    <w:rsid w:val="00F83726"/>
    <w:rsid w:val="00F8481F"/>
    <w:rsid w:val="00F853CC"/>
    <w:rsid w:val="00F86B33"/>
    <w:rsid w:val="00F91C17"/>
    <w:rsid w:val="00F92344"/>
    <w:rsid w:val="00F949B1"/>
    <w:rsid w:val="00F958EE"/>
    <w:rsid w:val="00F96EEB"/>
    <w:rsid w:val="00F96F8A"/>
    <w:rsid w:val="00F9761F"/>
    <w:rsid w:val="00FA102C"/>
    <w:rsid w:val="00FA359E"/>
    <w:rsid w:val="00FB3124"/>
    <w:rsid w:val="00FC5616"/>
    <w:rsid w:val="00FD328C"/>
    <w:rsid w:val="00FD7299"/>
    <w:rsid w:val="00FE114E"/>
    <w:rsid w:val="00FE2094"/>
    <w:rsid w:val="00FE4AE3"/>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lsdException w:name="toc 8" w:locked="1"/>
    <w:lsdException w:name="toc 9" w:locked="1"/>
    <w:lsdException w:name="footnote text" w:qFormat="1"/>
    <w:lsdException w:name="caption" w:uiPriority="35" w:qFormat="1"/>
    <w:lsdException w:name="endnote reference" w:uiPriority="0"/>
    <w:lsdException w:name="List Bullet" w:uiPriority="3" w:qFormat="1"/>
    <w:lsdException w:name="List Bullet 2" w:uiPriority="3" w:qFormat="1"/>
    <w:lsdException w:name="Title" w:semiHidden="0" w:uiPriority="3" w:unhideWhenUsed="0" w:qFormat="1"/>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7F1BE1"/>
    <w:pPr>
      <w:spacing w:after="150" w:line="276" w:lineRule="auto"/>
      <w:jc w:val="both"/>
    </w:pPr>
    <w:rPr>
      <w:rFonts w:ascii="Calibri" w:hAnsi="Calibri"/>
    </w:rPr>
  </w:style>
  <w:style w:type="paragraph" w:styleId="Cmsor1">
    <w:name w:val="heading 1"/>
    <w:basedOn w:val="Norml"/>
    <w:next w:val="Norml"/>
    <w:link w:val="Cmsor1Char"/>
    <w:uiPriority w:val="1"/>
    <w:qFormat/>
    <w:rsid w:val="007F1BE1"/>
    <w:pPr>
      <w:keepNext/>
      <w:keepLines/>
      <w:numPr>
        <w:numId w:val="3"/>
      </w:numPr>
      <w:spacing w:before="480" w:after="210"/>
      <w:ind w:left="227" w:hanging="227"/>
      <w:jc w:val="left"/>
      <w:outlineLvl w:val="0"/>
    </w:pPr>
    <w:rPr>
      <w:rFonts w:eastAsiaTheme="majorEastAsia" w:cstheme="majorBidi"/>
      <w:bCs/>
      <w:caps/>
      <w:color w:val="202653" w:themeColor="accent5"/>
      <w:szCs w:val="42"/>
    </w:rPr>
  </w:style>
  <w:style w:type="paragraph" w:styleId="Cmsor2">
    <w:name w:val="heading 2"/>
    <w:basedOn w:val="Norml"/>
    <w:next w:val="Norml"/>
    <w:link w:val="Cmsor2Char"/>
    <w:uiPriority w:val="1"/>
    <w:unhideWhenUsed/>
    <w:qFormat/>
    <w:rsid w:val="007F1BE1"/>
    <w:pPr>
      <w:numPr>
        <w:ilvl w:val="1"/>
        <w:numId w:val="3"/>
      </w:numPr>
      <w:spacing w:before="210" w:after="75"/>
      <w:jc w:val="left"/>
      <w:outlineLvl w:val="1"/>
    </w:pPr>
    <w:rPr>
      <w:b/>
      <w:color w:val="202653" w:themeColor="accent5"/>
      <w:szCs w:val="38"/>
    </w:rPr>
  </w:style>
  <w:style w:type="paragraph" w:styleId="Cmsor3">
    <w:name w:val="heading 3"/>
    <w:basedOn w:val="Norml"/>
    <w:next w:val="Norml"/>
    <w:link w:val="Cmsor3Char"/>
    <w:uiPriority w:val="1"/>
    <w:unhideWhenUsed/>
    <w:qFormat/>
    <w:rsid w:val="007F1BE1"/>
    <w:pPr>
      <w:numPr>
        <w:ilvl w:val="2"/>
        <w:numId w:val="3"/>
      </w:numPr>
      <w:spacing w:before="75" w:after="75"/>
      <w:ind w:left="595" w:hanging="595"/>
      <w:jc w:val="left"/>
      <w:outlineLvl w:val="2"/>
    </w:pPr>
    <w:rPr>
      <w:bCs/>
      <w:color w:val="202653" w:themeColor="accent5"/>
      <w:szCs w:val="34"/>
    </w:rPr>
  </w:style>
  <w:style w:type="paragraph" w:styleId="Cmsor4">
    <w:name w:val="heading 4"/>
    <w:basedOn w:val="Norml"/>
    <w:next w:val="Norml"/>
    <w:link w:val="Cmsor4Char"/>
    <w:uiPriority w:val="1"/>
    <w:unhideWhenUsed/>
    <w:qFormat/>
    <w:rsid w:val="007F1BE1"/>
    <w:pPr>
      <w:numPr>
        <w:ilvl w:val="3"/>
        <w:numId w:val="3"/>
      </w:numPr>
      <w:spacing w:before="75" w:after="75"/>
      <w:ind w:left="771" w:hanging="771"/>
      <w:jc w:val="left"/>
      <w:outlineLvl w:val="3"/>
    </w:pPr>
    <w:rPr>
      <w:iCs/>
      <w:color w:val="202653" w:themeColor="accent5"/>
      <w:szCs w:val="30"/>
    </w:rPr>
  </w:style>
  <w:style w:type="paragraph" w:styleId="Cmsor5">
    <w:name w:val="heading 5"/>
    <w:basedOn w:val="Norml"/>
    <w:next w:val="Norml"/>
    <w:link w:val="Cmsor5Char"/>
    <w:uiPriority w:val="1"/>
    <w:unhideWhenUsed/>
    <w:qFormat/>
    <w:rsid w:val="007F1BE1"/>
    <w:pPr>
      <w:numPr>
        <w:ilvl w:val="4"/>
        <w:numId w:val="3"/>
      </w:numPr>
      <w:spacing w:before="75" w:after="75"/>
      <w:ind w:left="947" w:hanging="947"/>
      <w:jc w:val="left"/>
      <w:outlineLvl w:val="4"/>
    </w:pPr>
    <w:rPr>
      <w:color w:val="202653" w:themeColor="accent5"/>
      <w:szCs w:val="26"/>
    </w:rPr>
  </w:style>
  <w:style w:type="paragraph" w:styleId="Cmsor6">
    <w:name w:val="heading 6"/>
    <w:basedOn w:val="Norml"/>
    <w:next w:val="Norml"/>
    <w:link w:val="Cmsor6Char"/>
    <w:uiPriority w:val="1"/>
    <w:unhideWhenUsed/>
    <w:qFormat/>
    <w:rsid w:val="007F1BE1"/>
    <w:pPr>
      <w:numPr>
        <w:ilvl w:val="5"/>
        <w:numId w:val="3"/>
      </w:numPr>
      <w:spacing w:before="75" w:after="75"/>
      <w:ind w:left="1123" w:hanging="1123"/>
      <w:jc w:val="left"/>
      <w:outlineLvl w:val="5"/>
    </w:pPr>
    <w:rPr>
      <w:color w:val="202653" w:themeColor="accent5"/>
    </w:rPr>
  </w:style>
  <w:style w:type="paragraph" w:styleId="Cmsor7">
    <w:name w:val="heading 7"/>
    <w:basedOn w:val="Norml"/>
    <w:next w:val="Norml"/>
    <w:link w:val="Cmsor7Char"/>
    <w:uiPriority w:val="9"/>
    <w:semiHidden/>
    <w:unhideWhenUsed/>
    <w:qFormat/>
    <w:rsid w:val="007F1BE1"/>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7F1BE1"/>
    <w:pPr>
      <w:keepNext/>
      <w:keepLines/>
      <w:numPr>
        <w:ilvl w:val="7"/>
        <w:numId w:val="3"/>
      </w:numPr>
      <w:spacing w:before="200"/>
      <w:outlineLvl w:val="7"/>
    </w:pPr>
    <w:rPr>
      <w:rFonts w:eastAsiaTheme="majorEastAsia" w:cstheme="majorBidi"/>
      <w:color w:val="404040" w:themeColor="text1" w:themeTint="BF"/>
      <w:szCs w:val="20"/>
    </w:rPr>
  </w:style>
  <w:style w:type="paragraph" w:styleId="Cmsor9">
    <w:name w:val="heading 9"/>
    <w:basedOn w:val="Norml"/>
    <w:next w:val="Norml"/>
    <w:link w:val="Cmsor9Char"/>
    <w:uiPriority w:val="9"/>
    <w:semiHidden/>
    <w:unhideWhenUsed/>
    <w:qFormat/>
    <w:rsid w:val="007F1BE1"/>
    <w:pPr>
      <w:keepNext/>
      <w:keepLines/>
      <w:numPr>
        <w:ilvl w:val="8"/>
        <w:numId w:val="3"/>
      </w:numPr>
      <w:spacing w:before="200"/>
      <w:outlineLvl w:val="8"/>
    </w:pPr>
    <w:rPr>
      <w:rFonts w:eastAsiaTheme="majorEastAsia" w:cstheme="majorBidi"/>
      <w:i/>
      <w:iCs/>
      <w:color w:val="404040" w:themeColor="text1" w:themeTint="BF"/>
      <w:szCs w:val="20"/>
    </w:rPr>
  </w:style>
  <w:style w:type="character" w:default="1" w:styleId="Bekezdsalapbettpusa">
    <w:name w:val="Default Paragraph Font"/>
    <w:uiPriority w:val="1"/>
    <w:semiHidden/>
    <w:unhideWhenUsed/>
    <w:rsid w:val="007F1BE1"/>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7F1BE1"/>
  </w:style>
  <w:style w:type="table" w:customStyle="1" w:styleId="tblzat-mtrix">
    <w:name w:val="táblázat - mátrix"/>
    <w:basedOn w:val="Normltblzat"/>
    <w:uiPriority w:val="2"/>
    <w:qFormat/>
    <w:rsid w:val="007F1BE1"/>
    <w:pPr>
      <w:contextualSpacing/>
    </w:pPr>
    <w:rPr>
      <w:rFonts w:asciiTheme="majorHAnsi" w:eastAsia="Calibri" w:hAnsiTheme="majorHAnsi"/>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Normltblzat"/>
    <w:uiPriority w:val="1"/>
    <w:qFormat/>
    <w:rsid w:val="007F1BE1"/>
    <w:pPr>
      <w:contextualSpacing/>
    </w:pPr>
    <w:rPr>
      <w:rFonts w:asciiTheme="majorHAnsi" w:eastAsia="Calibri" w:hAnsiTheme="majorHAnsi"/>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7F1BE1"/>
    <w:pPr>
      <w:numPr>
        <w:numId w:val="9"/>
      </w:numPr>
      <w:contextualSpacing/>
    </w:pPr>
  </w:style>
  <w:style w:type="character" w:styleId="Hiperhivatkozs">
    <w:name w:val="Hyperlink"/>
    <w:basedOn w:val="Vgjegyzet-hivatkozs"/>
    <w:uiPriority w:val="99"/>
    <w:rsid w:val="007F1BE1"/>
    <w:rPr>
      <w:rFonts w:ascii="Calibri" w:hAnsi="Calibri"/>
      <w:color w:val="0000FF"/>
      <w:sz w:val="20"/>
      <w:u w:val="single"/>
      <w:vertAlign w:val="superscript"/>
    </w:rPr>
  </w:style>
  <w:style w:type="table" w:customStyle="1" w:styleId="tblzat-oldallces">
    <w:name w:val="táblázat - oldalléces"/>
    <w:basedOn w:val="Normltblzat"/>
    <w:uiPriority w:val="3"/>
    <w:qFormat/>
    <w:rsid w:val="007F1BE1"/>
    <w:pPr>
      <w:contextualSpacing/>
    </w:pPr>
    <w:rPr>
      <w:rFonts w:asciiTheme="majorHAnsi" w:eastAsia="Calibri" w:hAnsiTheme="majorHAnsi"/>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Vgjegyzet-hivatkozs">
    <w:name w:val="endnote reference"/>
    <w:basedOn w:val="Bekezdsalapbettpusa"/>
    <w:semiHidden/>
    <w:rsid w:val="007F1BE1"/>
    <w:rPr>
      <w:vertAlign w:val="superscript"/>
    </w:rPr>
  </w:style>
  <w:style w:type="paragraph" w:styleId="Buborkszveg">
    <w:name w:val="Balloon Text"/>
    <w:basedOn w:val="Norml"/>
    <w:link w:val="BuborkszvegChar"/>
    <w:uiPriority w:val="99"/>
    <w:semiHidden/>
    <w:unhideWhenUsed/>
    <w:rsid w:val="007F1BE1"/>
    <w:rPr>
      <w:rFonts w:ascii="Tahoma" w:hAnsi="Tahoma" w:cs="Tahoma"/>
      <w:sz w:val="16"/>
      <w:szCs w:val="16"/>
    </w:rPr>
  </w:style>
  <w:style w:type="paragraph" w:customStyle="1" w:styleId="Magyarzszveg">
    <w:name w:val="Magyarázó szöveg"/>
    <w:basedOn w:val="Norml"/>
    <w:next w:val="Norml"/>
    <w:uiPriority w:val="7"/>
    <w:rsid w:val="007F1BE1"/>
    <w:rPr>
      <w:color w:val="202653" w:themeColor="accent5"/>
      <w:sz w:val="18"/>
    </w:rPr>
  </w:style>
  <w:style w:type="character" w:customStyle="1" w:styleId="BuborkszvegChar">
    <w:name w:val="Buborékszöveg Char"/>
    <w:basedOn w:val="Bekezdsalapbettpusa"/>
    <w:link w:val="Buborkszveg"/>
    <w:uiPriority w:val="99"/>
    <w:semiHidden/>
    <w:rsid w:val="007F1BE1"/>
    <w:rPr>
      <w:rFonts w:ascii="Tahoma" w:hAnsi="Tahoma" w:cs="Tahoma"/>
      <w:sz w:val="16"/>
      <w:szCs w:val="16"/>
    </w:rPr>
  </w:style>
  <w:style w:type="paragraph" w:styleId="lfej">
    <w:name w:val="header"/>
    <w:basedOn w:val="Norml"/>
    <w:link w:val="lfejChar"/>
    <w:uiPriority w:val="99"/>
    <w:semiHidden/>
    <w:unhideWhenUsed/>
    <w:rsid w:val="007F1BE1"/>
    <w:pPr>
      <w:tabs>
        <w:tab w:val="center" w:pos="4536"/>
        <w:tab w:val="right" w:pos="9072"/>
      </w:tabs>
    </w:pPr>
  </w:style>
  <w:style w:type="character" w:customStyle="1" w:styleId="lfejChar">
    <w:name w:val="Élőfej Char"/>
    <w:basedOn w:val="Bekezdsalapbettpusa"/>
    <w:link w:val="lfej"/>
    <w:uiPriority w:val="99"/>
    <w:semiHidden/>
    <w:rsid w:val="007F1BE1"/>
    <w:rPr>
      <w:rFonts w:ascii="Calibri" w:hAnsi="Calibri"/>
    </w:rPr>
  </w:style>
  <w:style w:type="paragraph" w:styleId="llb">
    <w:name w:val="footer"/>
    <w:basedOn w:val="Norml"/>
    <w:link w:val="llbChar"/>
    <w:uiPriority w:val="99"/>
    <w:semiHidden/>
    <w:unhideWhenUsed/>
    <w:rsid w:val="007F1BE1"/>
    <w:pPr>
      <w:tabs>
        <w:tab w:val="center" w:pos="4536"/>
        <w:tab w:val="right" w:pos="9072"/>
      </w:tabs>
    </w:pPr>
  </w:style>
  <w:style w:type="character" w:customStyle="1" w:styleId="llbChar">
    <w:name w:val="Élőláb Char"/>
    <w:basedOn w:val="Bekezdsalapbettpusa"/>
    <w:link w:val="llb"/>
    <w:uiPriority w:val="99"/>
    <w:semiHidden/>
    <w:rsid w:val="007F1BE1"/>
    <w:rPr>
      <w:rFonts w:ascii="Calibri" w:hAnsi="Calibri"/>
    </w:rPr>
  </w:style>
  <w:style w:type="paragraph" w:customStyle="1" w:styleId="Szmozs">
    <w:name w:val="Számozás"/>
    <w:basedOn w:val="Norml"/>
    <w:uiPriority w:val="4"/>
    <w:qFormat/>
    <w:rsid w:val="007F1BE1"/>
    <w:pPr>
      <w:numPr>
        <w:numId w:val="4"/>
      </w:numPr>
      <w:spacing w:before="120"/>
      <w:contextualSpacing/>
    </w:pPr>
  </w:style>
  <w:style w:type="table" w:styleId="Rcsostblzat">
    <w:name w:val="Table Grid"/>
    <w:aliases w:val="Szegély nélküli"/>
    <w:basedOn w:val="Normltblzat"/>
    <w:uiPriority w:val="59"/>
    <w:rsid w:val="007F1BE1"/>
    <w:pPr>
      <w:contextualSpacing/>
    </w:pPr>
    <w:tblPr/>
    <w:tcPr>
      <w:vAlign w:val="center"/>
    </w:tcPr>
  </w:style>
  <w:style w:type="character" w:customStyle="1" w:styleId="Cmsor4Char">
    <w:name w:val="Címsor 4 Char"/>
    <w:basedOn w:val="Bekezdsalapbettpusa"/>
    <w:link w:val="Cmsor4"/>
    <w:uiPriority w:val="1"/>
    <w:rsid w:val="007F1BE1"/>
    <w:rPr>
      <w:rFonts w:ascii="Calibri" w:hAnsi="Calibri"/>
      <w:iCs/>
      <w:color w:val="202653" w:themeColor="accent5"/>
      <w:szCs w:val="30"/>
    </w:rPr>
  </w:style>
  <w:style w:type="character" w:customStyle="1" w:styleId="Cmsor5Char">
    <w:name w:val="Címsor 5 Char"/>
    <w:basedOn w:val="Bekezdsalapbettpusa"/>
    <w:link w:val="Cmsor5"/>
    <w:uiPriority w:val="1"/>
    <w:rsid w:val="007F1BE1"/>
    <w:rPr>
      <w:rFonts w:ascii="Calibri" w:hAnsi="Calibri"/>
      <w:color w:val="202653" w:themeColor="accent5"/>
      <w:szCs w:val="26"/>
    </w:rPr>
  </w:style>
  <w:style w:type="character" w:customStyle="1" w:styleId="Cmsor6Char">
    <w:name w:val="Címsor 6 Char"/>
    <w:basedOn w:val="Bekezdsalapbettpusa"/>
    <w:link w:val="Cmsor6"/>
    <w:uiPriority w:val="1"/>
    <w:rsid w:val="007F1BE1"/>
    <w:rPr>
      <w:rFonts w:ascii="Calibri" w:hAnsi="Calibri"/>
      <w:color w:val="202653" w:themeColor="accent5"/>
    </w:rPr>
  </w:style>
  <w:style w:type="character" w:customStyle="1" w:styleId="Cmsor1Char">
    <w:name w:val="Címsor 1 Char"/>
    <w:basedOn w:val="Bekezdsalapbettpusa"/>
    <w:link w:val="Cmsor1"/>
    <w:uiPriority w:val="1"/>
    <w:rsid w:val="007F1BE1"/>
    <w:rPr>
      <w:rFonts w:ascii="Calibri" w:eastAsiaTheme="majorEastAsia" w:hAnsi="Calibri" w:cstheme="majorBidi"/>
      <w:bCs/>
      <w:caps/>
      <w:color w:val="202653" w:themeColor="accent5"/>
      <w:szCs w:val="42"/>
    </w:rPr>
  </w:style>
  <w:style w:type="character" w:customStyle="1" w:styleId="Cmsor2Char">
    <w:name w:val="Címsor 2 Char"/>
    <w:basedOn w:val="Bekezdsalapbettpusa"/>
    <w:link w:val="Cmsor2"/>
    <w:uiPriority w:val="1"/>
    <w:rsid w:val="007F1BE1"/>
    <w:rPr>
      <w:rFonts w:ascii="Calibri" w:hAnsi="Calibri"/>
      <w:b/>
      <w:color w:val="202653" w:themeColor="accent5"/>
      <w:szCs w:val="38"/>
    </w:rPr>
  </w:style>
  <w:style w:type="character" w:customStyle="1" w:styleId="Cmsor3Char">
    <w:name w:val="Címsor 3 Char"/>
    <w:basedOn w:val="Bekezdsalapbettpusa"/>
    <w:link w:val="Cmsor3"/>
    <w:uiPriority w:val="1"/>
    <w:rsid w:val="007F1BE1"/>
    <w:rPr>
      <w:rFonts w:ascii="Calibri" w:hAnsi="Calibri"/>
      <w:bCs/>
      <w:color w:val="202653" w:themeColor="accent5"/>
      <w:szCs w:val="34"/>
    </w:rPr>
  </w:style>
  <w:style w:type="paragraph" w:styleId="Cm">
    <w:name w:val="Title"/>
    <w:basedOn w:val="Norml"/>
    <w:next w:val="Norml"/>
    <w:link w:val="CmChar"/>
    <w:uiPriority w:val="3"/>
    <w:qFormat/>
    <w:rsid w:val="007F1BE1"/>
    <w:pPr>
      <w:spacing w:after="300"/>
      <w:contextualSpacing/>
    </w:pPr>
    <w:rPr>
      <w:rFonts w:eastAsiaTheme="majorEastAsia" w:cstheme="majorBidi"/>
      <w:caps/>
      <w:color w:val="202653" w:themeColor="accent5"/>
      <w:spacing w:val="5"/>
      <w:kern w:val="28"/>
      <w:sz w:val="24"/>
      <w:szCs w:val="52"/>
    </w:rPr>
  </w:style>
  <w:style w:type="character" w:customStyle="1" w:styleId="CmChar">
    <w:name w:val="Cím Char"/>
    <w:basedOn w:val="Bekezdsalapbettpusa"/>
    <w:link w:val="Cm"/>
    <w:uiPriority w:val="3"/>
    <w:rsid w:val="007F1BE1"/>
    <w:rPr>
      <w:rFonts w:ascii="Calibri" w:eastAsiaTheme="majorEastAsia" w:hAnsi="Calibri" w:cstheme="majorBidi"/>
      <w:caps/>
      <w:color w:val="202653" w:themeColor="accent5"/>
      <w:spacing w:val="5"/>
      <w:kern w:val="28"/>
      <w:sz w:val="24"/>
      <w:szCs w:val="52"/>
    </w:rPr>
  </w:style>
  <w:style w:type="character" w:customStyle="1" w:styleId="Cmsor7Char">
    <w:name w:val="Címsor 7 Char"/>
    <w:basedOn w:val="Bekezdsalapbettpusa"/>
    <w:link w:val="Cmsor7"/>
    <w:uiPriority w:val="9"/>
    <w:semiHidden/>
    <w:rsid w:val="007F1BE1"/>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7F1BE1"/>
    <w:rPr>
      <w:rFonts w:ascii="Calibri" w:eastAsiaTheme="majorEastAsia" w:hAnsi="Calibri" w:cstheme="majorBidi"/>
      <w:color w:val="404040" w:themeColor="text1" w:themeTint="BF"/>
      <w:szCs w:val="20"/>
    </w:rPr>
  </w:style>
  <w:style w:type="character" w:customStyle="1" w:styleId="Cmsor9Char">
    <w:name w:val="Címsor 9 Char"/>
    <w:basedOn w:val="Bekezdsalapbettpusa"/>
    <w:link w:val="Cmsor9"/>
    <w:uiPriority w:val="9"/>
    <w:semiHidden/>
    <w:rsid w:val="007F1BE1"/>
    <w:rPr>
      <w:rFonts w:ascii="Calibri" w:eastAsiaTheme="majorEastAsia" w:hAnsi="Calibri" w:cstheme="majorBidi"/>
      <w:i/>
      <w:iCs/>
      <w:color w:val="404040" w:themeColor="text1" w:themeTint="BF"/>
      <w:szCs w:val="20"/>
    </w:rPr>
  </w:style>
  <w:style w:type="numbering" w:customStyle="1" w:styleId="Style1">
    <w:name w:val="Style1"/>
    <w:uiPriority w:val="99"/>
    <w:rsid w:val="007F1BE1"/>
    <w:pPr>
      <w:numPr>
        <w:numId w:val="1"/>
      </w:numPr>
    </w:pPr>
  </w:style>
  <w:style w:type="paragraph" w:styleId="TJ7">
    <w:name w:val="toc 7"/>
    <w:basedOn w:val="Norml"/>
    <w:next w:val="Norml"/>
    <w:autoRedefine/>
    <w:uiPriority w:val="99"/>
    <w:semiHidden/>
    <w:locked/>
    <w:rsid w:val="007F1BE1"/>
    <w:pPr>
      <w:spacing w:after="100"/>
      <w:ind w:left="1200"/>
    </w:pPr>
    <w:rPr>
      <w:color w:val="295A7E" w:themeColor="accent6" w:themeShade="80"/>
    </w:rPr>
  </w:style>
  <w:style w:type="paragraph" w:styleId="TJ8">
    <w:name w:val="toc 8"/>
    <w:basedOn w:val="Norml"/>
    <w:next w:val="Norml"/>
    <w:autoRedefine/>
    <w:uiPriority w:val="99"/>
    <w:semiHidden/>
    <w:locked/>
    <w:rsid w:val="007F1BE1"/>
    <w:pPr>
      <w:spacing w:after="100"/>
      <w:ind w:left="1400"/>
    </w:pPr>
    <w:rPr>
      <w:color w:val="295A7E" w:themeColor="accent6" w:themeShade="80"/>
    </w:rPr>
  </w:style>
  <w:style w:type="paragraph" w:styleId="TJ9">
    <w:name w:val="toc 9"/>
    <w:basedOn w:val="Norml"/>
    <w:next w:val="Norml"/>
    <w:autoRedefine/>
    <w:uiPriority w:val="99"/>
    <w:semiHidden/>
    <w:locked/>
    <w:rsid w:val="007F1BE1"/>
    <w:pPr>
      <w:spacing w:after="100"/>
      <w:ind w:left="1600"/>
    </w:pPr>
    <w:rPr>
      <w:color w:val="295A7E" w:themeColor="accent6" w:themeShade="80"/>
    </w:rPr>
  </w:style>
  <w:style w:type="table" w:customStyle="1" w:styleId="Calendar2">
    <w:name w:val="Calendar 2"/>
    <w:basedOn w:val="Normltblzat"/>
    <w:uiPriority w:val="99"/>
    <w:qFormat/>
    <w:rsid w:val="007F1BE1"/>
    <w:pPr>
      <w:jc w:val="center"/>
    </w:pPr>
    <w:rPr>
      <w:rFonts w:eastAsiaTheme="minorEastAsia"/>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7F1BE1"/>
    <w:rPr>
      <w:rFonts w:eastAsiaTheme="minorEastAsia"/>
      <w:color w:val="898D8D" w:themeColor="text2"/>
      <w:sz w:val="16"/>
      <w:szCs w:val="20"/>
    </w:rPr>
  </w:style>
  <w:style w:type="character" w:customStyle="1" w:styleId="LbjegyzetszvegChar">
    <w:name w:val="Lábjegyzetszöveg Char"/>
    <w:basedOn w:val="Bekezdsalapbettpusa"/>
    <w:link w:val="Lbjegyzetszveg"/>
    <w:uiPriority w:val="99"/>
    <w:rsid w:val="007F1BE1"/>
    <w:rPr>
      <w:rFonts w:ascii="Calibri" w:eastAsiaTheme="minorEastAsia" w:hAnsi="Calibri"/>
      <w:color w:val="898D8D" w:themeColor="text2"/>
      <w:sz w:val="16"/>
      <w:szCs w:val="20"/>
    </w:rPr>
  </w:style>
  <w:style w:type="character" w:styleId="Finomkiemels">
    <w:name w:val="Subtle Emphasis"/>
    <w:basedOn w:val="Bekezdsalapbettpusa"/>
    <w:uiPriority w:val="19"/>
    <w:qFormat/>
    <w:rsid w:val="007F1BE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7F1BE1"/>
    <w:rPr>
      <w:rFonts w:eastAsiaTheme="minorEastAsia"/>
      <w:color w:val="5E4415" w:themeColor="accent1" w:themeShade="BF"/>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Kpalrs">
    <w:name w:val="caption"/>
    <w:basedOn w:val="Norml"/>
    <w:next w:val="Norml"/>
    <w:uiPriority w:val="35"/>
    <w:unhideWhenUsed/>
    <w:qFormat/>
    <w:rsid w:val="007F1BE1"/>
    <w:pPr>
      <w:spacing w:after="200"/>
      <w:jc w:val="left"/>
    </w:pPr>
    <w:rPr>
      <w:b/>
      <w:bCs/>
      <w:color w:val="898D8D" w:themeColor="text2"/>
      <w:sz w:val="18"/>
      <w:szCs w:val="18"/>
    </w:rPr>
  </w:style>
  <w:style w:type="paragraph" w:styleId="Vgjegyzetszvege">
    <w:name w:val="endnote text"/>
    <w:basedOn w:val="Norml"/>
    <w:link w:val="VgjegyzetszvegeChar"/>
    <w:uiPriority w:val="99"/>
    <w:semiHidden/>
    <w:unhideWhenUsed/>
    <w:rsid w:val="007F1BE1"/>
    <w:rPr>
      <w:color w:val="295A7E" w:themeColor="accent6" w:themeShade="80"/>
      <w:szCs w:val="20"/>
    </w:rPr>
  </w:style>
  <w:style w:type="character" w:customStyle="1" w:styleId="VgjegyzetszvegeChar">
    <w:name w:val="Végjegyzet szövege Char"/>
    <w:basedOn w:val="Bekezdsalapbettpusa"/>
    <w:link w:val="Vgjegyzetszvege"/>
    <w:uiPriority w:val="99"/>
    <w:semiHidden/>
    <w:rsid w:val="007F1BE1"/>
    <w:rPr>
      <w:rFonts w:ascii="Calibri" w:hAnsi="Calibri"/>
      <w:color w:val="295A7E" w:themeColor="accent6" w:themeShade="80"/>
      <w:szCs w:val="20"/>
    </w:rPr>
  </w:style>
  <w:style w:type="table" w:customStyle="1" w:styleId="Vilgosrnykols1jellszn1">
    <w:name w:val="Világos árnyékolás – 1. jelölőszín1"/>
    <w:basedOn w:val="Normltblzat"/>
    <w:uiPriority w:val="60"/>
    <w:rsid w:val="007F1BE1"/>
    <w:rPr>
      <w:color w:val="5E4415" w:themeColor="accent1" w:themeShade="BF"/>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aszerbekezds"/>
    <w:link w:val="Listaszerbekezds2Char"/>
    <w:uiPriority w:val="4"/>
    <w:qFormat/>
    <w:rsid w:val="007F1BE1"/>
    <w:pPr>
      <w:numPr>
        <w:numId w:val="5"/>
      </w:numPr>
    </w:pPr>
  </w:style>
  <w:style w:type="paragraph" w:customStyle="1" w:styleId="Tblaszvegstlus">
    <w:name w:val="Tábla szöveg stílus"/>
    <w:basedOn w:val="Norml"/>
    <w:link w:val="TblaszvegstlusChar"/>
    <w:uiPriority w:val="8"/>
    <w:qFormat/>
    <w:rsid w:val="007F1BE1"/>
  </w:style>
  <w:style w:type="character" w:customStyle="1" w:styleId="ListaszerbekezdsChar">
    <w:name w:val="Listaszerű bekezdés Char"/>
    <w:basedOn w:val="Bekezdsalapbettpusa"/>
    <w:link w:val="Listaszerbekezds"/>
    <w:uiPriority w:val="4"/>
    <w:rsid w:val="007F1BE1"/>
    <w:rPr>
      <w:rFonts w:ascii="Calibri" w:hAnsi="Calibri"/>
    </w:rPr>
  </w:style>
  <w:style w:type="character" w:customStyle="1" w:styleId="Listaszerbekezds2Char">
    <w:name w:val="Listaszerű bekezdés 2 Char"/>
    <w:basedOn w:val="ListaszerbekezdsChar"/>
    <w:link w:val="Listaszerbekezds2"/>
    <w:uiPriority w:val="4"/>
    <w:rsid w:val="007F1BE1"/>
    <w:rPr>
      <w:rFonts w:ascii="Calibri" w:hAnsi="Calibri"/>
    </w:rPr>
  </w:style>
  <w:style w:type="character" w:customStyle="1" w:styleId="TblaszvegstlusChar">
    <w:name w:val="Tábla szöveg stílus Char"/>
    <w:basedOn w:val="Bekezdsalapbettpusa"/>
    <w:link w:val="Tblaszvegstlus"/>
    <w:uiPriority w:val="8"/>
    <w:rsid w:val="007F1BE1"/>
    <w:rPr>
      <w:rFonts w:ascii="Calibri" w:hAnsi="Calibri"/>
    </w:rPr>
  </w:style>
  <w:style w:type="character" w:styleId="Finomhivatkozs">
    <w:name w:val="Subtle Reference"/>
    <w:basedOn w:val="Bekezdsalapbettpusa"/>
    <w:uiPriority w:val="31"/>
    <w:rsid w:val="007F1BE1"/>
    <w:rPr>
      <w:sz w:val="24"/>
      <w:szCs w:val="24"/>
      <w:u w:val="single"/>
    </w:rPr>
  </w:style>
  <w:style w:type="character" w:styleId="Ershivatkozs">
    <w:name w:val="Intense Reference"/>
    <w:basedOn w:val="Bekezdsalapbettpusa"/>
    <w:uiPriority w:val="32"/>
    <w:rsid w:val="007F1BE1"/>
    <w:rPr>
      <w:b/>
      <w:sz w:val="24"/>
      <w:u w:val="single"/>
    </w:rPr>
  </w:style>
  <w:style w:type="paragraph" w:customStyle="1" w:styleId="Listaszerbekezds2szint">
    <w:name w:val="Listaszerű bekezdés 2. szint"/>
    <w:basedOn w:val="Listaszerbekezds"/>
    <w:link w:val="Listaszerbekezds2szintChar"/>
    <w:uiPriority w:val="4"/>
    <w:qFormat/>
    <w:rsid w:val="007F1BE1"/>
    <w:pPr>
      <w:numPr>
        <w:numId w:val="8"/>
      </w:numPr>
    </w:pPr>
  </w:style>
  <w:style w:type="paragraph" w:customStyle="1" w:styleId="Listaszerbekezds3szint">
    <w:name w:val="Listaszerű bekezdés 3. szint"/>
    <w:basedOn w:val="Listaszerbekezds"/>
    <w:link w:val="Listaszerbekezds3szintChar"/>
    <w:uiPriority w:val="4"/>
    <w:qFormat/>
    <w:rsid w:val="007F1BE1"/>
    <w:pPr>
      <w:numPr>
        <w:ilvl w:val="2"/>
      </w:numPr>
    </w:pPr>
  </w:style>
  <w:style w:type="character" w:customStyle="1" w:styleId="Listaszerbekezds2szintChar">
    <w:name w:val="Listaszerű bekezdés 2. szint Char"/>
    <w:basedOn w:val="ListaszerbekezdsChar"/>
    <w:link w:val="Listaszerbekezds2szint"/>
    <w:uiPriority w:val="4"/>
    <w:rsid w:val="007F1BE1"/>
    <w:rPr>
      <w:rFonts w:ascii="Calibri" w:hAnsi="Calibri"/>
    </w:rPr>
  </w:style>
  <w:style w:type="character" w:customStyle="1" w:styleId="Listaszerbekezds3szintChar">
    <w:name w:val="Listaszerű bekezdés 3. szint Char"/>
    <w:basedOn w:val="ListaszerbekezdsChar"/>
    <w:link w:val="Listaszerbekezds3szint"/>
    <w:uiPriority w:val="4"/>
    <w:rsid w:val="007F1BE1"/>
    <w:rPr>
      <w:rFonts w:ascii="Calibri" w:hAnsi="Calibri"/>
    </w:rPr>
  </w:style>
  <w:style w:type="paragraph" w:styleId="Alcm">
    <w:name w:val="Subtitle"/>
    <w:basedOn w:val="Norml"/>
    <w:next w:val="Norml"/>
    <w:link w:val="AlcmChar"/>
    <w:uiPriority w:val="11"/>
    <w:rsid w:val="007F1BE1"/>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7F1BE1"/>
    <w:rPr>
      <w:rFonts w:ascii="Calibri" w:eastAsiaTheme="majorEastAsia" w:hAnsi="Calibri" w:cstheme="majorBidi"/>
    </w:rPr>
  </w:style>
  <w:style w:type="paragraph" w:customStyle="1" w:styleId="Listabetvel">
    <w:name w:val="Lista betűvel"/>
    <w:basedOn w:val="Listaszerbekezds"/>
    <w:link w:val="ListabetvelChar"/>
    <w:uiPriority w:val="4"/>
    <w:qFormat/>
    <w:rsid w:val="007F1BE1"/>
    <w:pPr>
      <w:numPr>
        <w:numId w:val="7"/>
      </w:numPr>
    </w:pPr>
  </w:style>
  <w:style w:type="character" w:customStyle="1" w:styleId="ListabetvelChar">
    <w:name w:val="Lista betűvel Char"/>
    <w:basedOn w:val="ListaszerbekezdsChar"/>
    <w:link w:val="Listabetvel"/>
    <w:uiPriority w:val="4"/>
    <w:rsid w:val="007F1BE1"/>
    <w:rPr>
      <w:rFonts w:ascii="Calibri" w:hAnsi="Calibri"/>
    </w:rPr>
  </w:style>
  <w:style w:type="paragraph" w:customStyle="1" w:styleId="Erskiemels">
    <w:name w:val="Erős kiemelés"/>
    <w:basedOn w:val="Norml"/>
    <w:link w:val="ErskiemelsChar"/>
    <w:uiPriority w:val="5"/>
    <w:qFormat/>
    <w:rsid w:val="007F1BE1"/>
    <w:rPr>
      <w:b/>
      <w:i/>
    </w:rPr>
  </w:style>
  <w:style w:type="character" w:customStyle="1" w:styleId="ErskiemelsChar">
    <w:name w:val="Erős kiemelés Char"/>
    <w:basedOn w:val="Bekezdsalapbettpusa"/>
    <w:link w:val="Erskiemels"/>
    <w:uiPriority w:val="5"/>
    <w:rsid w:val="007F1BE1"/>
    <w:rPr>
      <w:rFonts w:ascii="Calibri" w:hAnsi="Calibri"/>
      <w:b/>
      <w:i/>
    </w:rPr>
  </w:style>
  <w:style w:type="paragraph" w:customStyle="1" w:styleId="Bold">
    <w:name w:val="Bold"/>
    <w:basedOn w:val="Norml"/>
    <w:link w:val="BoldChar"/>
    <w:uiPriority w:val="6"/>
    <w:qFormat/>
    <w:rsid w:val="007F1BE1"/>
    <w:rPr>
      <w:b/>
    </w:rPr>
  </w:style>
  <w:style w:type="character" w:customStyle="1" w:styleId="BoldChar">
    <w:name w:val="Bold Char"/>
    <w:basedOn w:val="Bekezdsalapbettpusa"/>
    <w:link w:val="Bold"/>
    <w:uiPriority w:val="6"/>
    <w:rsid w:val="007F1BE1"/>
    <w:rPr>
      <w:rFonts w:ascii="Calibri" w:hAnsi="Calibri"/>
      <w:b/>
    </w:rPr>
  </w:style>
  <w:style w:type="character" w:styleId="Mrltotthiperhivatkozs">
    <w:name w:val="FollowedHyperlink"/>
    <w:basedOn w:val="Bekezdsalapbettpusa"/>
    <w:uiPriority w:val="99"/>
    <w:semiHidden/>
    <w:unhideWhenUsed/>
    <w:rsid w:val="007F1BE1"/>
    <w:rPr>
      <w:color w:val="7BAFD4" w:themeColor="followedHyperlink"/>
      <w:u w:val="single"/>
    </w:rPr>
  </w:style>
  <w:style w:type="paragraph" w:styleId="Tartalomjegyzkcmsora">
    <w:name w:val="TOC Heading"/>
    <w:basedOn w:val="Cmsor1"/>
    <w:next w:val="Norml"/>
    <w:uiPriority w:val="39"/>
    <w:unhideWhenUsed/>
    <w:qFormat/>
    <w:rsid w:val="007F1BE1"/>
    <w:pPr>
      <w:numPr>
        <w:numId w:val="0"/>
      </w:numPr>
      <w:spacing w:after="0"/>
      <w:outlineLvl w:val="9"/>
    </w:pPr>
    <w:rPr>
      <w:b/>
      <w:caps w:val="0"/>
      <w:sz w:val="24"/>
      <w:szCs w:val="28"/>
    </w:rPr>
  </w:style>
  <w:style w:type="paragraph" w:styleId="TJ2">
    <w:name w:val="toc 2"/>
    <w:basedOn w:val="Norml"/>
    <w:next w:val="Norml"/>
    <w:autoRedefine/>
    <w:uiPriority w:val="39"/>
    <w:unhideWhenUsed/>
    <w:qFormat/>
    <w:locked/>
    <w:rsid w:val="007F1BE1"/>
    <w:pPr>
      <w:spacing w:after="100"/>
      <w:ind w:left="220"/>
      <w:jc w:val="left"/>
    </w:pPr>
    <w:rPr>
      <w:rFonts w:eastAsiaTheme="minorEastAsia"/>
    </w:rPr>
  </w:style>
  <w:style w:type="paragraph" w:styleId="TJ1">
    <w:name w:val="toc 1"/>
    <w:basedOn w:val="Norml"/>
    <w:next w:val="Norml"/>
    <w:autoRedefine/>
    <w:uiPriority w:val="39"/>
    <w:unhideWhenUsed/>
    <w:qFormat/>
    <w:locked/>
    <w:rsid w:val="007F1BE1"/>
    <w:pPr>
      <w:spacing w:after="100"/>
      <w:jc w:val="left"/>
    </w:pPr>
    <w:rPr>
      <w:rFonts w:eastAsiaTheme="minorEastAsia"/>
    </w:rPr>
  </w:style>
  <w:style w:type="paragraph" w:styleId="TJ3">
    <w:name w:val="toc 3"/>
    <w:basedOn w:val="Norml"/>
    <w:next w:val="Norml"/>
    <w:uiPriority w:val="39"/>
    <w:unhideWhenUsed/>
    <w:qFormat/>
    <w:locked/>
    <w:rsid w:val="007F1BE1"/>
    <w:pPr>
      <w:spacing w:after="100"/>
      <w:ind w:left="400"/>
    </w:pPr>
  </w:style>
  <w:style w:type="paragraph" w:customStyle="1" w:styleId="StyleTOC2Left015">
    <w:name w:val="Style TOC 2 + Left:  0.15&quot;"/>
    <w:basedOn w:val="TJ2"/>
    <w:rsid w:val="007F1BE1"/>
    <w:pPr>
      <w:ind w:left="216"/>
    </w:pPr>
    <w:rPr>
      <w:rFonts w:eastAsia="Times New Roman" w:cs="Times New Roman"/>
      <w:szCs w:val="20"/>
    </w:rPr>
  </w:style>
  <w:style w:type="paragraph" w:customStyle="1" w:styleId="StyleTOC3Left031">
    <w:name w:val="Style TOC 3 + Left:  0.31&quot;"/>
    <w:basedOn w:val="TJ3"/>
    <w:rsid w:val="007F1BE1"/>
    <w:pPr>
      <w:ind w:left="446"/>
    </w:pPr>
    <w:rPr>
      <w:rFonts w:eastAsia="Times New Roman" w:cs="Times New Roman"/>
      <w:szCs w:val="20"/>
    </w:rPr>
  </w:style>
  <w:style w:type="numbering" w:customStyle="1" w:styleId="Hierarchikuslista">
    <w:name w:val="Hierarchikus lista"/>
    <w:uiPriority w:val="99"/>
    <w:rsid w:val="007F1BE1"/>
    <w:pPr>
      <w:numPr>
        <w:numId w:val="2"/>
      </w:numPr>
    </w:pPr>
  </w:style>
  <w:style w:type="paragraph" w:customStyle="1" w:styleId="HierarchikusLista0">
    <w:name w:val="Hierarchikus Lista"/>
    <w:basedOn w:val="Listaszerbekezds"/>
    <w:link w:val="HierarchikusListaChar"/>
    <w:qFormat/>
    <w:rsid w:val="007F1BE1"/>
    <w:pPr>
      <w:numPr>
        <w:numId w:val="0"/>
      </w:numPr>
    </w:pPr>
  </w:style>
  <w:style w:type="character" w:customStyle="1" w:styleId="HierarchikusListaChar">
    <w:name w:val="Hierarchikus Lista Char"/>
    <w:basedOn w:val="ListaszerbekezdsChar"/>
    <w:link w:val="HierarchikusLista0"/>
    <w:rsid w:val="007F1BE1"/>
    <w:rPr>
      <w:rFonts w:ascii="Calibri" w:hAnsi="Calibri"/>
    </w:rPr>
  </w:style>
  <w:style w:type="character" w:styleId="Kiemels2">
    <w:name w:val="Strong"/>
    <w:basedOn w:val="Bekezdsalapbettpusa"/>
    <w:uiPriority w:val="22"/>
    <w:rsid w:val="007F1BE1"/>
    <w:rPr>
      <w:b/>
      <w:bCs/>
    </w:rPr>
  </w:style>
  <w:style w:type="character" w:styleId="Kiemels">
    <w:name w:val="Emphasis"/>
    <w:basedOn w:val="Bekezdsalapbettpusa"/>
    <w:uiPriority w:val="6"/>
    <w:qFormat/>
    <w:rsid w:val="007F1BE1"/>
    <w:rPr>
      <w:i/>
      <w:iCs/>
    </w:rPr>
  </w:style>
  <w:style w:type="paragraph" w:styleId="Nincstrkz">
    <w:name w:val="No Spacing"/>
    <w:basedOn w:val="Norml"/>
    <w:uiPriority w:val="1"/>
    <w:rsid w:val="007F1BE1"/>
    <w:rPr>
      <w:szCs w:val="32"/>
    </w:rPr>
  </w:style>
  <w:style w:type="paragraph" w:styleId="Idzet">
    <w:name w:val="Quote"/>
    <w:basedOn w:val="Norml"/>
    <w:next w:val="Norml"/>
    <w:link w:val="IdzetChar"/>
    <w:uiPriority w:val="29"/>
    <w:rsid w:val="007F1BE1"/>
    <w:rPr>
      <w:i/>
    </w:rPr>
  </w:style>
  <w:style w:type="character" w:customStyle="1" w:styleId="IdzetChar">
    <w:name w:val="Idézet Char"/>
    <w:basedOn w:val="Bekezdsalapbettpusa"/>
    <w:link w:val="Idzet"/>
    <w:uiPriority w:val="29"/>
    <w:rsid w:val="007F1BE1"/>
    <w:rPr>
      <w:rFonts w:ascii="Calibri" w:hAnsi="Calibri"/>
      <w:i/>
    </w:rPr>
  </w:style>
  <w:style w:type="paragraph" w:styleId="Kiemeltidzet">
    <w:name w:val="Intense Quote"/>
    <w:basedOn w:val="Norml"/>
    <w:next w:val="Norml"/>
    <w:link w:val="KiemeltidzetChar"/>
    <w:uiPriority w:val="30"/>
    <w:rsid w:val="007F1BE1"/>
    <w:pPr>
      <w:ind w:left="720" w:right="720"/>
    </w:pPr>
    <w:rPr>
      <w:b/>
      <w:i/>
    </w:rPr>
  </w:style>
  <w:style w:type="character" w:customStyle="1" w:styleId="KiemeltidzetChar">
    <w:name w:val="Kiemelt idézet Char"/>
    <w:basedOn w:val="Bekezdsalapbettpusa"/>
    <w:link w:val="Kiemeltidzet"/>
    <w:uiPriority w:val="30"/>
    <w:rsid w:val="007F1BE1"/>
    <w:rPr>
      <w:rFonts w:ascii="Calibri" w:hAnsi="Calibri"/>
      <w:b/>
      <w:i/>
    </w:rPr>
  </w:style>
  <w:style w:type="character" w:styleId="Ershangslyozs">
    <w:name w:val="Intense Emphasis"/>
    <w:basedOn w:val="Bekezdsalapbettpusa"/>
    <w:uiPriority w:val="21"/>
    <w:rsid w:val="007F1BE1"/>
    <w:rPr>
      <w:b/>
      <w:i/>
      <w:sz w:val="24"/>
      <w:szCs w:val="24"/>
      <w:u w:val="single"/>
    </w:rPr>
  </w:style>
  <w:style w:type="character" w:styleId="Knyvcme">
    <w:name w:val="Book Title"/>
    <w:basedOn w:val="Bekezdsalapbettpusa"/>
    <w:uiPriority w:val="33"/>
    <w:rsid w:val="007F1BE1"/>
    <w:rPr>
      <w:rFonts w:ascii="Calibri" w:eastAsiaTheme="majorEastAsia" w:hAnsi="Calibri"/>
      <w:b/>
      <w:i/>
      <w:sz w:val="24"/>
      <w:szCs w:val="24"/>
    </w:rPr>
  </w:style>
  <w:style w:type="paragraph" w:customStyle="1" w:styleId="Szvegdobozstlus">
    <w:name w:val="Szövegdoboz stílus"/>
    <w:basedOn w:val="HierarchikusLista0"/>
    <w:qFormat/>
    <w:rsid w:val="007F1BE1"/>
    <w:rPr>
      <w:b/>
      <w:i/>
      <w:color w:val="7E5C1D" w:themeColor="accent1"/>
    </w:rPr>
  </w:style>
  <w:style w:type="table" w:customStyle="1" w:styleId="Rcsos">
    <w:name w:val="Rácsos"/>
    <w:basedOn w:val="Normltblzat"/>
    <w:uiPriority w:val="99"/>
    <w:rsid w:val="007F1BE1"/>
    <w:rPr>
      <w:rFonts w:asciiTheme="majorHAnsi" w:hAnsiTheme="majorHAnsi"/>
      <w:color w:val="202653" w:themeColor="accent5"/>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basedOn w:val="Bekezdsalapbettpusa"/>
    <w:uiPriority w:val="99"/>
    <w:semiHidden/>
    <w:rsid w:val="00593944"/>
    <w:rPr>
      <w:rFonts w:cs="Times New Roman"/>
      <w:vertAlign w:val="superscript"/>
    </w:rPr>
  </w:style>
  <w:style w:type="table" w:customStyle="1" w:styleId="tblzat-fejlces1">
    <w:name w:val="táblázat - fejléces1"/>
    <w:basedOn w:val="Normltblzat"/>
    <w:uiPriority w:val="1"/>
    <w:qFormat/>
    <w:rsid w:val="00593944"/>
    <w:pPr>
      <w:contextualSpacing/>
    </w:pPr>
    <w:rPr>
      <w:rFonts w:asciiTheme="majorHAnsi" w:eastAsia="Calibri" w:hAnsiTheme="majorHAnsi"/>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character" w:styleId="Jegyzethivatkozs">
    <w:name w:val="annotation reference"/>
    <w:basedOn w:val="Bekezdsalapbettpusa"/>
    <w:uiPriority w:val="99"/>
    <w:semiHidden/>
    <w:unhideWhenUsed/>
    <w:rsid w:val="00412F67"/>
    <w:rPr>
      <w:sz w:val="16"/>
      <w:szCs w:val="16"/>
    </w:rPr>
  </w:style>
  <w:style w:type="paragraph" w:styleId="Jegyzetszveg">
    <w:name w:val="annotation text"/>
    <w:basedOn w:val="Norml"/>
    <w:link w:val="JegyzetszvegChar"/>
    <w:uiPriority w:val="99"/>
    <w:semiHidden/>
    <w:unhideWhenUsed/>
    <w:rsid w:val="00412F67"/>
    <w:pPr>
      <w:spacing w:line="240" w:lineRule="auto"/>
    </w:pPr>
    <w:rPr>
      <w:szCs w:val="20"/>
    </w:rPr>
  </w:style>
  <w:style w:type="character" w:customStyle="1" w:styleId="JegyzetszvegChar">
    <w:name w:val="Jegyzetszöveg Char"/>
    <w:basedOn w:val="Bekezdsalapbettpusa"/>
    <w:link w:val="Jegyzetszveg"/>
    <w:uiPriority w:val="99"/>
    <w:semiHidden/>
    <w:rsid w:val="00412F67"/>
    <w:rPr>
      <w:rFonts w:ascii="Calibri" w:hAnsi="Calibri"/>
      <w:szCs w:val="20"/>
    </w:rPr>
  </w:style>
  <w:style w:type="paragraph" w:styleId="Megjegyzstrgya">
    <w:name w:val="annotation subject"/>
    <w:basedOn w:val="Jegyzetszveg"/>
    <w:next w:val="Jegyzetszveg"/>
    <w:link w:val="MegjegyzstrgyaChar"/>
    <w:uiPriority w:val="99"/>
    <w:semiHidden/>
    <w:unhideWhenUsed/>
    <w:rsid w:val="00412F67"/>
    <w:rPr>
      <w:b/>
      <w:bCs/>
    </w:rPr>
  </w:style>
  <w:style w:type="character" w:customStyle="1" w:styleId="MegjegyzstrgyaChar">
    <w:name w:val="Megjegyzés tárgya Char"/>
    <w:basedOn w:val="JegyzetszvegChar"/>
    <w:link w:val="Megjegyzstrgya"/>
    <w:uiPriority w:val="99"/>
    <w:semiHidden/>
    <w:rsid w:val="00412F67"/>
    <w:rPr>
      <w:rFonts w:ascii="Calibri" w:hAnsi="Calibri"/>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lsdException w:name="toc 8" w:locked="1"/>
    <w:lsdException w:name="toc 9" w:locked="1"/>
    <w:lsdException w:name="footnote text" w:qFormat="1"/>
    <w:lsdException w:name="caption" w:uiPriority="35" w:qFormat="1"/>
    <w:lsdException w:name="endnote reference" w:uiPriority="0"/>
    <w:lsdException w:name="List Bullet" w:uiPriority="3" w:qFormat="1"/>
    <w:lsdException w:name="List Bullet 2" w:uiPriority="3" w:qFormat="1"/>
    <w:lsdException w:name="Title" w:semiHidden="0" w:uiPriority="3" w:unhideWhenUsed="0" w:qFormat="1"/>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7F1BE1"/>
    <w:pPr>
      <w:spacing w:after="150" w:line="276" w:lineRule="auto"/>
      <w:jc w:val="both"/>
    </w:pPr>
    <w:rPr>
      <w:rFonts w:ascii="Calibri" w:hAnsi="Calibri"/>
    </w:rPr>
  </w:style>
  <w:style w:type="paragraph" w:styleId="Cmsor1">
    <w:name w:val="heading 1"/>
    <w:basedOn w:val="Norml"/>
    <w:next w:val="Norml"/>
    <w:link w:val="Cmsor1Char"/>
    <w:uiPriority w:val="1"/>
    <w:qFormat/>
    <w:rsid w:val="007F1BE1"/>
    <w:pPr>
      <w:keepNext/>
      <w:keepLines/>
      <w:numPr>
        <w:numId w:val="3"/>
      </w:numPr>
      <w:spacing w:before="480" w:after="210"/>
      <w:ind w:left="227" w:hanging="227"/>
      <w:jc w:val="left"/>
      <w:outlineLvl w:val="0"/>
    </w:pPr>
    <w:rPr>
      <w:rFonts w:eastAsiaTheme="majorEastAsia" w:cstheme="majorBidi"/>
      <w:bCs/>
      <w:caps/>
      <w:color w:val="202653" w:themeColor="accent5"/>
      <w:szCs w:val="42"/>
    </w:rPr>
  </w:style>
  <w:style w:type="paragraph" w:styleId="Cmsor2">
    <w:name w:val="heading 2"/>
    <w:basedOn w:val="Norml"/>
    <w:next w:val="Norml"/>
    <w:link w:val="Cmsor2Char"/>
    <w:uiPriority w:val="1"/>
    <w:unhideWhenUsed/>
    <w:qFormat/>
    <w:rsid w:val="007F1BE1"/>
    <w:pPr>
      <w:numPr>
        <w:ilvl w:val="1"/>
        <w:numId w:val="3"/>
      </w:numPr>
      <w:spacing w:before="210" w:after="75"/>
      <w:jc w:val="left"/>
      <w:outlineLvl w:val="1"/>
    </w:pPr>
    <w:rPr>
      <w:b/>
      <w:color w:val="202653" w:themeColor="accent5"/>
      <w:szCs w:val="38"/>
    </w:rPr>
  </w:style>
  <w:style w:type="paragraph" w:styleId="Cmsor3">
    <w:name w:val="heading 3"/>
    <w:basedOn w:val="Norml"/>
    <w:next w:val="Norml"/>
    <w:link w:val="Cmsor3Char"/>
    <w:uiPriority w:val="1"/>
    <w:unhideWhenUsed/>
    <w:qFormat/>
    <w:rsid w:val="007F1BE1"/>
    <w:pPr>
      <w:numPr>
        <w:ilvl w:val="2"/>
        <w:numId w:val="3"/>
      </w:numPr>
      <w:spacing w:before="75" w:after="75"/>
      <w:ind w:left="595" w:hanging="595"/>
      <w:jc w:val="left"/>
      <w:outlineLvl w:val="2"/>
    </w:pPr>
    <w:rPr>
      <w:bCs/>
      <w:color w:val="202653" w:themeColor="accent5"/>
      <w:szCs w:val="34"/>
    </w:rPr>
  </w:style>
  <w:style w:type="paragraph" w:styleId="Cmsor4">
    <w:name w:val="heading 4"/>
    <w:basedOn w:val="Norml"/>
    <w:next w:val="Norml"/>
    <w:link w:val="Cmsor4Char"/>
    <w:uiPriority w:val="1"/>
    <w:unhideWhenUsed/>
    <w:qFormat/>
    <w:rsid w:val="007F1BE1"/>
    <w:pPr>
      <w:numPr>
        <w:ilvl w:val="3"/>
        <w:numId w:val="3"/>
      </w:numPr>
      <w:spacing w:before="75" w:after="75"/>
      <w:ind w:left="771" w:hanging="771"/>
      <w:jc w:val="left"/>
      <w:outlineLvl w:val="3"/>
    </w:pPr>
    <w:rPr>
      <w:iCs/>
      <w:color w:val="202653" w:themeColor="accent5"/>
      <w:szCs w:val="30"/>
    </w:rPr>
  </w:style>
  <w:style w:type="paragraph" w:styleId="Cmsor5">
    <w:name w:val="heading 5"/>
    <w:basedOn w:val="Norml"/>
    <w:next w:val="Norml"/>
    <w:link w:val="Cmsor5Char"/>
    <w:uiPriority w:val="1"/>
    <w:unhideWhenUsed/>
    <w:qFormat/>
    <w:rsid w:val="007F1BE1"/>
    <w:pPr>
      <w:numPr>
        <w:ilvl w:val="4"/>
        <w:numId w:val="3"/>
      </w:numPr>
      <w:spacing w:before="75" w:after="75"/>
      <w:ind w:left="947" w:hanging="947"/>
      <w:jc w:val="left"/>
      <w:outlineLvl w:val="4"/>
    </w:pPr>
    <w:rPr>
      <w:color w:val="202653" w:themeColor="accent5"/>
      <w:szCs w:val="26"/>
    </w:rPr>
  </w:style>
  <w:style w:type="paragraph" w:styleId="Cmsor6">
    <w:name w:val="heading 6"/>
    <w:basedOn w:val="Norml"/>
    <w:next w:val="Norml"/>
    <w:link w:val="Cmsor6Char"/>
    <w:uiPriority w:val="1"/>
    <w:unhideWhenUsed/>
    <w:qFormat/>
    <w:rsid w:val="007F1BE1"/>
    <w:pPr>
      <w:numPr>
        <w:ilvl w:val="5"/>
        <w:numId w:val="3"/>
      </w:numPr>
      <w:spacing w:before="75" w:after="75"/>
      <w:ind w:left="1123" w:hanging="1123"/>
      <w:jc w:val="left"/>
      <w:outlineLvl w:val="5"/>
    </w:pPr>
    <w:rPr>
      <w:color w:val="202653" w:themeColor="accent5"/>
    </w:rPr>
  </w:style>
  <w:style w:type="paragraph" w:styleId="Cmsor7">
    <w:name w:val="heading 7"/>
    <w:basedOn w:val="Norml"/>
    <w:next w:val="Norml"/>
    <w:link w:val="Cmsor7Char"/>
    <w:uiPriority w:val="9"/>
    <w:semiHidden/>
    <w:unhideWhenUsed/>
    <w:qFormat/>
    <w:rsid w:val="007F1BE1"/>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7F1BE1"/>
    <w:pPr>
      <w:keepNext/>
      <w:keepLines/>
      <w:numPr>
        <w:ilvl w:val="7"/>
        <w:numId w:val="3"/>
      </w:numPr>
      <w:spacing w:before="200"/>
      <w:outlineLvl w:val="7"/>
    </w:pPr>
    <w:rPr>
      <w:rFonts w:eastAsiaTheme="majorEastAsia" w:cstheme="majorBidi"/>
      <w:color w:val="404040" w:themeColor="text1" w:themeTint="BF"/>
      <w:szCs w:val="20"/>
    </w:rPr>
  </w:style>
  <w:style w:type="paragraph" w:styleId="Cmsor9">
    <w:name w:val="heading 9"/>
    <w:basedOn w:val="Norml"/>
    <w:next w:val="Norml"/>
    <w:link w:val="Cmsor9Char"/>
    <w:uiPriority w:val="9"/>
    <w:semiHidden/>
    <w:unhideWhenUsed/>
    <w:qFormat/>
    <w:rsid w:val="007F1BE1"/>
    <w:pPr>
      <w:keepNext/>
      <w:keepLines/>
      <w:numPr>
        <w:ilvl w:val="8"/>
        <w:numId w:val="3"/>
      </w:numPr>
      <w:spacing w:before="200"/>
      <w:outlineLvl w:val="8"/>
    </w:pPr>
    <w:rPr>
      <w:rFonts w:eastAsiaTheme="majorEastAsia" w:cstheme="majorBidi"/>
      <w:i/>
      <w:iCs/>
      <w:color w:val="404040" w:themeColor="text1" w:themeTint="BF"/>
      <w:szCs w:val="20"/>
    </w:rPr>
  </w:style>
  <w:style w:type="character" w:default="1" w:styleId="Bekezdsalapbettpusa">
    <w:name w:val="Default Paragraph Font"/>
    <w:uiPriority w:val="1"/>
    <w:semiHidden/>
    <w:unhideWhenUsed/>
    <w:rsid w:val="007F1BE1"/>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7F1BE1"/>
  </w:style>
  <w:style w:type="table" w:customStyle="1" w:styleId="tblzat-mtrix">
    <w:name w:val="táblázat - mátrix"/>
    <w:basedOn w:val="Normltblzat"/>
    <w:uiPriority w:val="2"/>
    <w:qFormat/>
    <w:rsid w:val="007F1BE1"/>
    <w:pPr>
      <w:contextualSpacing/>
    </w:pPr>
    <w:rPr>
      <w:rFonts w:asciiTheme="majorHAnsi" w:eastAsia="Calibri" w:hAnsiTheme="majorHAnsi"/>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Normltblzat"/>
    <w:uiPriority w:val="1"/>
    <w:qFormat/>
    <w:rsid w:val="007F1BE1"/>
    <w:pPr>
      <w:contextualSpacing/>
    </w:pPr>
    <w:rPr>
      <w:rFonts w:asciiTheme="majorHAnsi" w:eastAsia="Calibri" w:hAnsiTheme="majorHAnsi"/>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7F1BE1"/>
    <w:pPr>
      <w:numPr>
        <w:numId w:val="9"/>
      </w:numPr>
      <w:contextualSpacing/>
    </w:pPr>
  </w:style>
  <w:style w:type="character" w:styleId="Hiperhivatkozs">
    <w:name w:val="Hyperlink"/>
    <w:basedOn w:val="Vgjegyzet-hivatkozs"/>
    <w:uiPriority w:val="99"/>
    <w:rsid w:val="007F1BE1"/>
    <w:rPr>
      <w:rFonts w:ascii="Calibri" w:hAnsi="Calibri"/>
      <w:color w:val="0000FF"/>
      <w:sz w:val="20"/>
      <w:u w:val="single"/>
      <w:vertAlign w:val="superscript"/>
    </w:rPr>
  </w:style>
  <w:style w:type="table" w:customStyle="1" w:styleId="tblzat-oldallces">
    <w:name w:val="táblázat - oldalléces"/>
    <w:basedOn w:val="Normltblzat"/>
    <w:uiPriority w:val="3"/>
    <w:qFormat/>
    <w:rsid w:val="007F1BE1"/>
    <w:pPr>
      <w:contextualSpacing/>
    </w:pPr>
    <w:rPr>
      <w:rFonts w:asciiTheme="majorHAnsi" w:eastAsia="Calibri" w:hAnsiTheme="majorHAnsi"/>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Vgjegyzet-hivatkozs">
    <w:name w:val="endnote reference"/>
    <w:basedOn w:val="Bekezdsalapbettpusa"/>
    <w:semiHidden/>
    <w:rsid w:val="007F1BE1"/>
    <w:rPr>
      <w:vertAlign w:val="superscript"/>
    </w:rPr>
  </w:style>
  <w:style w:type="paragraph" w:styleId="Buborkszveg">
    <w:name w:val="Balloon Text"/>
    <w:basedOn w:val="Norml"/>
    <w:link w:val="BuborkszvegChar"/>
    <w:uiPriority w:val="99"/>
    <w:semiHidden/>
    <w:unhideWhenUsed/>
    <w:rsid w:val="007F1BE1"/>
    <w:rPr>
      <w:rFonts w:ascii="Tahoma" w:hAnsi="Tahoma" w:cs="Tahoma"/>
      <w:sz w:val="16"/>
      <w:szCs w:val="16"/>
    </w:rPr>
  </w:style>
  <w:style w:type="paragraph" w:customStyle="1" w:styleId="Magyarzszveg">
    <w:name w:val="Magyarázó szöveg"/>
    <w:basedOn w:val="Norml"/>
    <w:next w:val="Norml"/>
    <w:uiPriority w:val="7"/>
    <w:rsid w:val="007F1BE1"/>
    <w:rPr>
      <w:color w:val="202653" w:themeColor="accent5"/>
      <w:sz w:val="18"/>
    </w:rPr>
  </w:style>
  <w:style w:type="character" w:customStyle="1" w:styleId="BuborkszvegChar">
    <w:name w:val="Buborékszöveg Char"/>
    <w:basedOn w:val="Bekezdsalapbettpusa"/>
    <w:link w:val="Buborkszveg"/>
    <w:uiPriority w:val="99"/>
    <w:semiHidden/>
    <w:rsid w:val="007F1BE1"/>
    <w:rPr>
      <w:rFonts w:ascii="Tahoma" w:hAnsi="Tahoma" w:cs="Tahoma"/>
      <w:sz w:val="16"/>
      <w:szCs w:val="16"/>
    </w:rPr>
  </w:style>
  <w:style w:type="paragraph" w:styleId="lfej">
    <w:name w:val="header"/>
    <w:basedOn w:val="Norml"/>
    <w:link w:val="lfejChar"/>
    <w:uiPriority w:val="99"/>
    <w:semiHidden/>
    <w:unhideWhenUsed/>
    <w:rsid w:val="007F1BE1"/>
    <w:pPr>
      <w:tabs>
        <w:tab w:val="center" w:pos="4536"/>
        <w:tab w:val="right" w:pos="9072"/>
      </w:tabs>
    </w:pPr>
  </w:style>
  <w:style w:type="character" w:customStyle="1" w:styleId="lfejChar">
    <w:name w:val="Élőfej Char"/>
    <w:basedOn w:val="Bekezdsalapbettpusa"/>
    <w:link w:val="lfej"/>
    <w:uiPriority w:val="99"/>
    <w:semiHidden/>
    <w:rsid w:val="007F1BE1"/>
    <w:rPr>
      <w:rFonts w:ascii="Calibri" w:hAnsi="Calibri"/>
    </w:rPr>
  </w:style>
  <w:style w:type="paragraph" w:styleId="llb">
    <w:name w:val="footer"/>
    <w:basedOn w:val="Norml"/>
    <w:link w:val="llbChar"/>
    <w:uiPriority w:val="99"/>
    <w:semiHidden/>
    <w:unhideWhenUsed/>
    <w:rsid w:val="007F1BE1"/>
    <w:pPr>
      <w:tabs>
        <w:tab w:val="center" w:pos="4536"/>
        <w:tab w:val="right" w:pos="9072"/>
      </w:tabs>
    </w:pPr>
  </w:style>
  <w:style w:type="character" w:customStyle="1" w:styleId="llbChar">
    <w:name w:val="Élőláb Char"/>
    <w:basedOn w:val="Bekezdsalapbettpusa"/>
    <w:link w:val="llb"/>
    <w:uiPriority w:val="99"/>
    <w:semiHidden/>
    <w:rsid w:val="007F1BE1"/>
    <w:rPr>
      <w:rFonts w:ascii="Calibri" w:hAnsi="Calibri"/>
    </w:rPr>
  </w:style>
  <w:style w:type="paragraph" w:customStyle="1" w:styleId="Szmozs">
    <w:name w:val="Számozás"/>
    <w:basedOn w:val="Norml"/>
    <w:uiPriority w:val="4"/>
    <w:qFormat/>
    <w:rsid w:val="007F1BE1"/>
    <w:pPr>
      <w:numPr>
        <w:numId w:val="4"/>
      </w:numPr>
      <w:spacing w:before="120"/>
      <w:contextualSpacing/>
    </w:pPr>
  </w:style>
  <w:style w:type="table" w:styleId="Rcsostblzat">
    <w:name w:val="Table Grid"/>
    <w:aliases w:val="Szegély nélküli"/>
    <w:basedOn w:val="Normltblzat"/>
    <w:uiPriority w:val="59"/>
    <w:rsid w:val="007F1BE1"/>
    <w:pPr>
      <w:contextualSpacing/>
    </w:pPr>
    <w:tblPr/>
    <w:tcPr>
      <w:vAlign w:val="center"/>
    </w:tcPr>
  </w:style>
  <w:style w:type="character" w:customStyle="1" w:styleId="Cmsor4Char">
    <w:name w:val="Címsor 4 Char"/>
    <w:basedOn w:val="Bekezdsalapbettpusa"/>
    <w:link w:val="Cmsor4"/>
    <w:uiPriority w:val="1"/>
    <w:rsid w:val="007F1BE1"/>
    <w:rPr>
      <w:rFonts w:ascii="Calibri" w:hAnsi="Calibri"/>
      <w:iCs/>
      <w:color w:val="202653" w:themeColor="accent5"/>
      <w:szCs w:val="30"/>
    </w:rPr>
  </w:style>
  <w:style w:type="character" w:customStyle="1" w:styleId="Cmsor5Char">
    <w:name w:val="Címsor 5 Char"/>
    <w:basedOn w:val="Bekezdsalapbettpusa"/>
    <w:link w:val="Cmsor5"/>
    <w:uiPriority w:val="1"/>
    <w:rsid w:val="007F1BE1"/>
    <w:rPr>
      <w:rFonts w:ascii="Calibri" w:hAnsi="Calibri"/>
      <w:color w:val="202653" w:themeColor="accent5"/>
      <w:szCs w:val="26"/>
    </w:rPr>
  </w:style>
  <w:style w:type="character" w:customStyle="1" w:styleId="Cmsor6Char">
    <w:name w:val="Címsor 6 Char"/>
    <w:basedOn w:val="Bekezdsalapbettpusa"/>
    <w:link w:val="Cmsor6"/>
    <w:uiPriority w:val="1"/>
    <w:rsid w:val="007F1BE1"/>
    <w:rPr>
      <w:rFonts w:ascii="Calibri" w:hAnsi="Calibri"/>
      <w:color w:val="202653" w:themeColor="accent5"/>
    </w:rPr>
  </w:style>
  <w:style w:type="character" w:customStyle="1" w:styleId="Cmsor1Char">
    <w:name w:val="Címsor 1 Char"/>
    <w:basedOn w:val="Bekezdsalapbettpusa"/>
    <w:link w:val="Cmsor1"/>
    <w:uiPriority w:val="1"/>
    <w:rsid w:val="007F1BE1"/>
    <w:rPr>
      <w:rFonts w:ascii="Calibri" w:eastAsiaTheme="majorEastAsia" w:hAnsi="Calibri" w:cstheme="majorBidi"/>
      <w:bCs/>
      <w:caps/>
      <w:color w:val="202653" w:themeColor="accent5"/>
      <w:szCs w:val="42"/>
    </w:rPr>
  </w:style>
  <w:style w:type="character" w:customStyle="1" w:styleId="Cmsor2Char">
    <w:name w:val="Címsor 2 Char"/>
    <w:basedOn w:val="Bekezdsalapbettpusa"/>
    <w:link w:val="Cmsor2"/>
    <w:uiPriority w:val="1"/>
    <w:rsid w:val="007F1BE1"/>
    <w:rPr>
      <w:rFonts w:ascii="Calibri" w:hAnsi="Calibri"/>
      <w:b/>
      <w:color w:val="202653" w:themeColor="accent5"/>
      <w:szCs w:val="38"/>
    </w:rPr>
  </w:style>
  <w:style w:type="character" w:customStyle="1" w:styleId="Cmsor3Char">
    <w:name w:val="Címsor 3 Char"/>
    <w:basedOn w:val="Bekezdsalapbettpusa"/>
    <w:link w:val="Cmsor3"/>
    <w:uiPriority w:val="1"/>
    <w:rsid w:val="007F1BE1"/>
    <w:rPr>
      <w:rFonts w:ascii="Calibri" w:hAnsi="Calibri"/>
      <w:bCs/>
      <w:color w:val="202653" w:themeColor="accent5"/>
      <w:szCs w:val="34"/>
    </w:rPr>
  </w:style>
  <w:style w:type="paragraph" w:styleId="Cm">
    <w:name w:val="Title"/>
    <w:basedOn w:val="Norml"/>
    <w:next w:val="Norml"/>
    <w:link w:val="CmChar"/>
    <w:uiPriority w:val="3"/>
    <w:qFormat/>
    <w:rsid w:val="007F1BE1"/>
    <w:pPr>
      <w:spacing w:after="300"/>
      <w:contextualSpacing/>
    </w:pPr>
    <w:rPr>
      <w:rFonts w:eastAsiaTheme="majorEastAsia" w:cstheme="majorBidi"/>
      <w:caps/>
      <w:color w:val="202653" w:themeColor="accent5"/>
      <w:spacing w:val="5"/>
      <w:kern w:val="28"/>
      <w:sz w:val="24"/>
      <w:szCs w:val="52"/>
    </w:rPr>
  </w:style>
  <w:style w:type="character" w:customStyle="1" w:styleId="CmChar">
    <w:name w:val="Cím Char"/>
    <w:basedOn w:val="Bekezdsalapbettpusa"/>
    <w:link w:val="Cm"/>
    <w:uiPriority w:val="3"/>
    <w:rsid w:val="007F1BE1"/>
    <w:rPr>
      <w:rFonts w:ascii="Calibri" w:eastAsiaTheme="majorEastAsia" w:hAnsi="Calibri" w:cstheme="majorBidi"/>
      <w:caps/>
      <w:color w:val="202653" w:themeColor="accent5"/>
      <w:spacing w:val="5"/>
      <w:kern w:val="28"/>
      <w:sz w:val="24"/>
      <w:szCs w:val="52"/>
    </w:rPr>
  </w:style>
  <w:style w:type="character" w:customStyle="1" w:styleId="Cmsor7Char">
    <w:name w:val="Címsor 7 Char"/>
    <w:basedOn w:val="Bekezdsalapbettpusa"/>
    <w:link w:val="Cmsor7"/>
    <w:uiPriority w:val="9"/>
    <w:semiHidden/>
    <w:rsid w:val="007F1BE1"/>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7F1BE1"/>
    <w:rPr>
      <w:rFonts w:ascii="Calibri" w:eastAsiaTheme="majorEastAsia" w:hAnsi="Calibri" w:cstheme="majorBidi"/>
      <w:color w:val="404040" w:themeColor="text1" w:themeTint="BF"/>
      <w:szCs w:val="20"/>
    </w:rPr>
  </w:style>
  <w:style w:type="character" w:customStyle="1" w:styleId="Cmsor9Char">
    <w:name w:val="Címsor 9 Char"/>
    <w:basedOn w:val="Bekezdsalapbettpusa"/>
    <w:link w:val="Cmsor9"/>
    <w:uiPriority w:val="9"/>
    <w:semiHidden/>
    <w:rsid w:val="007F1BE1"/>
    <w:rPr>
      <w:rFonts w:ascii="Calibri" w:eastAsiaTheme="majorEastAsia" w:hAnsi="Calibri" w:cstheme="majorBidi"/>
      <w:i/>
      <w:iCs/>
      <w:color w:val="404040" w:themeColor="text1" w:themeTint="BF"/>
      <w:szCs w:val="20"/>
    </w:rPr>
  </w:style>
  <w:style w:type="numbering" w:customStyle="1" w:styleId="Style1">
    <w:name w:val="Style1"/>
    <w:uiPriority w:val="99"/>
    <w:rsid w:val="007F1BE1"/>
    <w:pPr>
      <w:numPr>
        <w:numId w:val="1"/>
      </w:numPr>
    </w:pPr>
  </w:style>
  <w:style w:type="paragraph" w:styleId="TJ7">
    <w:name w:val="toc 7"/>
    <w:basedOn w:val="Norml"/>
    <w:next w:val="Norml"/>
    <w:autoRedefine/>
    <w:uiPriority w:val="99"/>
    <w:semiHidden/>
    <w:locked/>
    <w:rsid w:val="007F1BE1"/>
    <w:pPr>
      <w:spacing w:after="100"/>
      <w:ind w:left="1200"/>
    </w:pPr>
    <w:rPr>
      <w:color w:val="295A7E" w:themeColor="accent6" w:themeShade="80"/>
    </w:rPr>
  </w:style>
  <w:style w:type="paragraph" w:styleId="TJ8">
    <w:name w:val="toc 8"/>
    <w:basedOn w:val="Norml"/>
    <w:next w:val="Norml"/>
    <w:autoRedefine/>
    <w:uiPriority w:val="99"/>
    <w:semiHidden/>
    <w:locked/>
    <w:rsid w:val="007F1BE1"/>
    <w:pPr>
      <w:spacing w:after="100"/>
      <w:ind w:left="1400"/>
    </w:pPr>
    <w:rPr>
      <w:color w:val="295A7E" w:themeColor="accent6" w:themeShade="80"/>
    </w:rPr>
  </w:style>
  <w:style w:type="paragraph" w:styleId="TJ9">
    <w:name w:val="toc 9"/>
    <w:basedOn w:val="Norml"/>
    <w:next w:val="Norml"/>
    <w:autoRedefine/>
    <w:uiPriority w:val="99"/>
    <w:semiHidden/>
    <w:locked/>
    <w:rsid w:val="007F1BE1"/>
    <w:pPr>
      <w:spacing w:after="100"/>
      <w:ind w:left="1600"/>
    </w:pPr>
    <w:rPr>
      <w:color w:val="295A7E" w:themeColor="accent6" w:themeShade="80"/>
    </w:rPr>
  </w:style>
  <w:style w:type="table" w:customStyle="1" w:styleId="Calendar2">
    <w:name w:val="Calendar 2"/>
    <w:basedOn w:val="Normltblzat"/>
    <w:uiPriority w:val="99"/>
    <w:qFormat/>
    <w:rsid w:val="007F1BE1"/>
    <w:pPr>
      <w:jc w:val="center"/>
    </w:pPr>
    <w:rPr>
      <w:rFonts w:eastAsiaTheme="minorEastAsia"/>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7F1BE1"/>
    <w:rPr>
      <w:rFonts w:eastAsiaTheme="minorEastAsia"/>
      <w:color w:val="898D8D" w:themeColor="text2"/>
      <w:sz w:val="16"/>
      <w:szCs w:val="20"/>
    </w:rPr>
  </w:style>
  <w:style w:type="character" w:customStyle="1" w:styleId="LbjegyzetszvegChar">
    <w:name w:val="Lábjegyzetszöveg Char"/>
    <w:basedOn w:val="Bekezdsalapbettpusa"/>
    <w:link w:val="Lbjegyzetszveg"/>
    <w:uiPriority w:val="99"/>
    <w:rsid w:val="007F1BE1"/>
    <w:rPr>
      <w:rFonts w:ascii="Calibri" w:eastAsiaTheme="minorEastAsia" w:hAnsi="Calibri"/>
      <w:color w:val="898D8D" w:themeColor="text2"/>
      <w:sz w:val="16"/>
      <w:szCs w:val="20"/>
    </w:rPr>
  </w:style>
  <w:style w:type="character" w:styleId="Finomkiemels">
    <w:name w:val="Subtle Emphasis"/>
    <w:basedOn w:val="Bekezdsalapbettpusa"/>
    <w:uiPriority w:val="19"/>
    <w:qFormat/>
    <w:rsid w:val="007F1BE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7F1BE1"/>
    <w:rPr>
      <w:rFonts w:eastAsiaTheme="minorEastAsia"/>
      <w:color w:val="5E4415" w:themeColor="accent1" w:themeShade="BF"/>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Kpalrs">
    <w:name w:val="caption"/>
    <w:basedOn w:val="Norml"/>
    <w:next w:val="Norml"/>
    <w:uiPriority w:val="35"/>
    <w:unhideWhenUsed/>
    <w:qFormat/>
    <w:rsid w:val="007F1BE1"/>
    <w:pPr>
      <w:spacing w:after="200"/>
      <w:jc w:val="left"/>
    </w:pPr>
    <w:rPr>
      <w:b/>
      <w:bCs/>
      <w:color w:val="898D8D" w:themeColor="text2"/>
      <w:sz w:val="18"/>
      <w:szCs w:val="18"/>
    </w:rPr>
  </w:style>
  <w:style w:type="paragraph" w:styleId="Vgjegyzetszvege">
    <w:name w:val="endnote text"/>
    <w:basedOn w:val="Norml"/>
    <w:link w:val="VgjegyzetszvegeChar"/>
    <w:uiPriority w:val="99"/>
    <w:semiHidden/>
    <w:unhideWhenUsed/>
    <w:rsid w:val="007F1BE1"/>
    <w:rPr>
      <w:color w:val="295A7E" w:themeColor="accent6" w:themeShade="80"/>
      <w:szCs w:val="20"/>
    </w:rPr>
  </w:style>
  <w:style w:type="character" w:customStyle="1" w:styleId="VgjegyzetszvegeChar">
    <w:name w:val="Végjegyzet szövege Char"/>
    <w:basedOn w:val="Bekezdsalapbettpusa"/>
    <w:link w:val="Vgjegyzetszvege"/>
    <w:uiPriority w:val="99"/>
    <w:semiHidden/>
    <w:rsid w:val="007F1BE1"/>
    <w:rPr>
      <w:rFonts w:ascii="Calibri" w:hAnsi="Calibri"/>
      <w:color w:val="295A7E" w:themeColor="accent6" w:themeShade="80"/>
      <w:szCs w:val="20"/>
    </w:rPr>
  </w:style>
  <w:style w:type="table" w:customStyle="1" w:styleId="Vilgosrnykols1jellszn1">
    <w:name w:val="Világos árnyékolás – 1. jelölőszín1"/>
    <w:basedOn w:val="Normltblzat"/>
    <w:uiPriority w:val="60"/>
    <w:rsid w:val="007F1BE1"/>
    <w:rPr>
      <w:color w:val="5E4415" w:themeColor="accent1" w:themeShade="BF"/>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aszerbekezds"/>
    <w:link w:val="Listaszerbekezds2Char"/>
    <w:uiPriority w:val="4"/>
    <w:qFormat/>
    <w:rsid w:val="007F1BE1"/>
    <w:pPr>
      <w:numPr>
        <w:numId w:val="5"/>
      </w:numPr>
    </w:pPr>
  </w:style>
  <w:style w:type="paragraph" w:customStyle="1" w:styleId="Tblaszvegstlus">
    <w:name w:val="Tábla szöveg stílus"/>
    <w:basedOn w:val="Norml"/>
    <w:link w:val="TblaszvegstlusChar"/>
    <w:uiPriority w:val="8"/>
    <w:qFormat/>
    <w:rsid w:val="007F1BE1"/>
  </w:style>
  <w:style w:type="character" w:customStyle="1" w:styleId="ListaszerbekezdsChar">
    <w:name w:val="Listaszerű bekezdés Char"/>
    <w:basedOn w:val="Bekezdsalapbettpusa"/>
    <w:link w:val="Listaszerbekezds"/>
    <w:uiPriority w:val="4"/>
    <w:rsid w:val="007F1BE1"/>
    <w:rPr>
      <w:rFonts w:ascii="Calibri" w:hAnsi="Calibri"/>
    </w:rPr>
  </w:style>
  <w:style w:type="character" w:customStyle="1" w:styleId="Listaszerbekezds2Char">
    <w:name w:val="Listaszerű bekezdés 2 Char"/>
    <w:basedOn w:val="ListaszerbekezdsChar"/>
    <w:link w:val="Listaszerbekezds2"/>
    <w:uiPriority w:val="4"/>
    <w:rsid w:val="007F1BE1"/>
    <w:rPr>
      <w:rFonts w:ascii="Calibri" w:hAnsi="Calibri"/>
    </w:rPr>
  </w:style>
  <w:style w:type="character" w:customStyle="1" w:styleId="TblaszvegstlusChar">
    <w:name w:val="Tábla szöveg stílus Char"/>
    <w:basedOn w:val="Bekezdsalapbettpusa"/>
    <w:link w:val="Tblaszvegstlus"/>
    <w:uiPriority w:val="8"/>
    <w:rsid w:val="007F1BE1"/>
    <w:rPr>
      <w:rFonts w:ascii="Calibri" w:hAnsi="Calibri"/>
    </w:rPr>
  </w:style>
  <w:style w:type="character" w:styleId="Finomhivatkozs">
    <w:name w:val="Subtle Reference"/>
    <w:basedOn w:val="Bekezdsalapbettpusa"/>
    <w:uiPriority w:val="31"/>
    <w:rsid w:val="007F1BE1"/>
    <w:rPr>
      <w:sz w:val="24"/>
      <w:szCs w:val="24"/>
      <w:u w:val="single"/>
    </w:rPr>
  </w:style>
  <w:style w:type="character" w:styleId="Ershivatkozs">
    <w:name w:val="Intense Reference"/>
    <w:basedOn w:val="Bekezdsalapbettpusa"/>
    <w:uiPriority w:val="32"/>
    <w:rsid w:val="007F1BE1"/>
    <w:rPr>
      <w:b/>
      <w:sz w:val="24"/>
      <w:u w:val="single"/>
    </w:rPr>
  </w:style>
  <w:style w:type="paragraph" w:customStyle="1" w:styleId="Listaszerbekezds2szint">
    <w:name w:val="Listaszerű bekezdés 2. szint"/>
    <w:basedOn w:val="Listaszerbekezds"/>
    <w:link w:val="Listaszerbekezds2szintChar"/>
    <w:uiPriority w:val="4"/>
    <w:qFormat/>
    <w:rsid w:val="007F1BE1"/>
    <w:pPr>
      <w:numPr>
        <w:numId w:val="8"/>
      </w:numPr>
    </w:pPr>
  </w:style>
  <w:style w:type="paragraph" w:customStyle="1" w:styleId="Listaszerbekezds3szint">
    <w:name w:val="Listaszerű bekezdés 3. szint"/>
    <w:basedOn w:val="Listaszerbekezds"/>
    <w:link w:val="Listaszerbekezds3szintChar"/>
    <w:uiPriority w:val="4"/>
    <w:qFormat/>
    <w:rsid w:val="007F1BE1"/>
    <w:pPr>
      <w:numPr>
        <w:ilvl w:val="2"/>
      </w:numPr>
    </w:pPr>
  </w:style>
  <w:style w:type="character" w:customStyle="1" w:styleId="Listaszerbekezds2szintChar">
    <w:name w:val="Listaszerű bekezdés 2. szint Char"/>
    <w:basedOn w:val="ListaszerbekezdsChar"/>
    <w:link w:val="Listaszerbekezds2szint"/>
    <w:uiPriority w:val="4"/>
    <w:rsid w:val="007F1BE1"/>
    <w:rPr>
      <w:rFonts w:ascii="Calibri" w:hAnsi="Calibri"/>
    </w:rPr>
  </w:style>
  <w:style w:type="character" w:customStyle="1" w:styleId="Listaszerbekezds3szintChar">
    <w:name w:val="Listaszerű bekezdés 3. szint Char"/>
    <w:basedOn w:val="ListaszerbekezdsChar"/>
    <w:link w:val="Listaszerbekezds3szint"/>
    <w:uiPriority w:val="4"/>
    <w:rsid w:val="007F1BE1"/>
    <w:rPr>
      <w:rFonts w:ascii="Calibri" w:hAnsi="Calibri"/>
    </w:rPr>
  </w:style>
  <w:style w:type="paragraph" w:styleId="Alcm">
    <w:name w:val="Subtitle"/>
    <w:basedOn w:val="Norml"/>
    <w:next w:val="Norml"/>
    <w:link w:val="AlcmChar"/>
    <w:uiPriority w:val="11"/>
    <w:rsid w:val="007F1BE1"/>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7F1BE1"/>
    <w:rPr>
      <w:rFonts w:ascii="Calibri" w:eastAsiaTheme="majorEastAsia" w:hAnsi="Calibri" w:cstheme="majorBidi"/>
    </w:rPr>
  </w:style>
  <w:style w:type="paragraph" w:customStyle="1" w:styleId="Listabetvel">
    <w:name w:val="Lista betűvel"/>
    <w:basedOn w:val="Listaszerbekezds"/>
    <w:link w:val="ListabetvelChar"/>
    <w:uiPriority w:val="4"/>
    <w:qFormat/>
    <w:rsid w:val="007F1BE1"/>
    <w:pPr>
      <w:numPr>
        <w:numId w:val="7"/>
      </w:numPr>
    </w:pPr>
  </w:style>
  <w:style w:type="character" w:customStyle="1" w:styleId="ListabetvelChar">
    <w:name w:val="Lista betűvel Char"/>
    <w:basedOn w:val="ListaszerbekezdsChar"/>
    <w:link w:val="Listabetvel"/>
    <w:uiPriority w:val="4"/>
    <w:rsid w:val="007F1BE1"/>
    <w:rPr>
      <w:rFonts w:ascii="Calibri" w:hAnsi="Calibri"/>
    </w:rPr>
  </w:style>
  <w:style w:type="paragraph" w:customStyle="1" w:styleId="Erskiemels">
    <w:name w:val="Erős kiemelés"/>
    <w:basedOn w:val="Norml"/>
    <w:link w:val="ErskiemelsChar"/>
    <w:uiPriority w:val="5"/>
    <w:qFormat/>
    <w:rsid w:val="007F1BE1"/>
    <w:rPr>
      <w:b/>
      <w:i/>
    </w:rPr>
  </w:style>
  <w:style w:type="character" w:customStyle="1" w:styleId="ErskiemelsChar">
    <w:name w:val="Erős kiemelés Char"/>
    <w:basedOn w:val="Bekezdsalapbettpusa"/>
    <w:link w:val="Erskiemels"/>
    <w:uiPriority w:val="5"/>
    <w:rsid w:val="007F1BE1"/>
    <w:rPr>
      <w:rFonts w:ascii="Calibri" w:hAnsi="Calibri"/>
      <w:b/>
      <w:i/>
    </w:rPr>
  </w:style>
  <w:style w:type="paragraph" w:customStyle="1" w:styleId="Bold">
    <w:name w:val="Bold"/>
    <w:basedOn w:val="Norml"/>
    <w:link w:val="BoldChar"/>
    <w:uiPriority w:val="6"/>
    <w:qFormat/>
    <w:rsid w:val="007F1BE1"/>
    <w:rPr>
      <w:b/>
    </w:rPr>
  </w:style>
  <w:style w:type="character" w:customStyle="1" w:styleId="BoldChar">
    <w:name w:val="Bold Char"/>
    <w:basedOn w:val="Bekezdsalapbettpusa"/>
    <w:link w:val="Bold"/>
    <w:uiPriority w:val="6"/>
    <w:rsid w:val="007F1BE1"/>
    <w:rPr>
      <w:rFonts w:ascii="Calibri" w:hAnsi="Calibri"/>
      <w:b/>
    </w:rPr>
  </w:style>
  <w:style w:type="character" w:styleId="Mrltotthiperhivatkozs">
    <w:name w:val="FollowedHyperlink"/>
    <w:basedOn w:val="Bekezdsalapbettpusa"/>
    <w:uiPriority w:val="99"/>
    <w:semiHidden/>
    <w:unhideWhenUsed/>
    <w:rsid w:val="007F1BE1"/>
    <w:rPr>
      <w:color w:val="7BAFD4" w:themeColor="followedHyperlink"/>
      <w:u w:val="single"/>
    </w:rPr>
  </w:style>
  <w:style w:type="paragraph" w:styleId="Tartalomjegyzkcmsora">
    <w:name w:val="TOC Heading"/>
    <w:basedOn w:val="Cmsor1"/>
    <w:next w:val="Norml"/>
    <w:uiPriority w:val="39"/>
    <w:unhideWhenUsed/>
    <w:qFormat/>
    <w:rsid w:val="007F1BE1"/>
    <w:pPr>
      <w:numPr>
        <w:numId w:val="0"/>
      </w:numPr>
      <w:spacing w:after="0"/>
      <w:outlineLvl w:val="9"/>
    </w:pPr>
    <w:rPr>
      <w:b/>
      <w:caps w:val="0"/>
      <w:sz w:val="24"/>
      <w:szCs w:val="28"/>
    </w:rPr>
  </w:style>
  <w:style w:type="paragraph" w:styleId="TJ2">
    <w:name w:val="toc 2"/>
    <w:basedOn w:val="Norml"/>
    <w:next w:val="Norml"/>
    <w:autoRedefine/>
    <w:uiPriority w:val="39"/>
    <w:unhideWhenUsed/>
    <w:qFormat/>
    <w:locked/>
    <w:rsid w:val="007F1BE1"/>
    <w:pPr>
      <w:spacing w:after="100"/>
      <w:ind w:left="220"/>
      <w:jc w:val="left"/>
    </w:pPr>
    <w:rPr>
      <w:rFonts w:eastAsiaTheme="minorEastAsia"/>
    </w:rPr>
  </w:style>
  <w:style w:type="paragraph" w:styleId="TJ1">
    <w:name w:val="toc 1"/>
    <w:basedOn w:val="Norml"/>
    <w:next w:val="Norml"/>
    <w:autoRedefine/>
    <w:uiPriority w:val="39"/>
    <w:unhideWhenUsed/>
    <w:qFormat/>
    <w:locked/>
    <w:rsid w:val="007F1BE1"/>
    <w:pPr>
      <w:spacing w:after="100"/>
      <w:jc w:val="left"/>
    </w:pPr>
    <w:rPr>
      <w:rFonts w:eastAsiaTheme="minorEastAsia"/>
    </w:rPr>
  </w:style>
  <w:style w:type="paragraph" w:styleId="TJ3">
    <w:name w:val="toc 3"/>
    <w:basedOn w:val="Norml"/>
    <w:next w:val="Norml"/>
    <w:uiPriority w:val="39"/>
    <w:unhideWhenUsed/>
    <w:qFormat/>
    <w:locked/>
    <w:rsid w:val="007F1BE1"/>
    <w:pPr>
      <w:spacing w:after="100"/>
      <w:ind w:left="400"/>
    </w:pPr>
  </w:style>
  <w:style w:type="paragraph" w:customStyle="1" w:styleId="StyleTOC2Left015">
    <w:name w:val="Style TOC 2 + Left:  0.15&quot;"/>
    <w:basedOn w:val="TJ2"/>
    <w:rsid w:val="007F1BE1"/>
    <w:pPr>
      <w:ind w:left="216"/>
    </w:pPr>
    <w:rPr>
      <w:rFonts w:eastAsia="Times New Roman" w:cs="Times New Roman"/>
      <w:szCs w:val="20"/>
    </w:rPr>
  </w:style>
  <w:style w:type="paragraph" w:customStyle="1" w:styleId="StyleTOC3Left031">
    <w:name w:val="Style TOC 3 + Left:  0.31&quot;"/>
    <w:basedOn w:val="TJ3"/>
    <w:rsid w:val="007F1BE1"/>
    <w:pPr>
      <w:ind w:left="446"/>
    </w:pPr>
    <w:rPr>
      <w:rFonts w:eastAsia="Times New Roman" w:cs="Times New Roman"/>
      <w:szCs w:val="20"/>
    </w:rPr>
  </w:style>
  <w:style w:type="numbering" w:customStyle="1" w:styleId="Hierarchikuslista">
    <w:name w:val="Hierarchikus lista"/>
    <w:uiPriority w:val="99"/>
    <w:rsid w:val="007F1BE1"/>
    <w:pPr>
      <w:numPr>
        <w:numId w:val="2"/>
      </w:numPr>
    </w:pPr>
  </w:style>
  <w:style w:type="paragraph" w:customStyle="1" w:styleId="HierarchikusLista0">
    <w:name w:val="Hierarchikus Lista"/>
    <w:basedOn w:val="Listaszerbekezds"/>
    <w:link w:val="HierarchikusListaChar"/>
    <w:qFormat/>
    <w:rsid w:val="007F1BE1"/>
    <w:pPr>
      <w:numPr>
        <w:numId w:val="0"/>
      </w:numPr>
    </w:pPr>
  </w:style>
  <w:style w:type="character" w:customStyle="1" w:styleId="HierarchikusListaChar">
    <w:name w:val="Hierarchikus Lista Char"/>
    <w:basedOn w:val="ListaszerbekezdsChar"/>
    <w:link w:val="HierarchikusLista0"/>
    <w:rsid w:val="007F1BE1"/>
    <w:rPr>
      <w:rFonts w:ascii="Calibri" w:hAnsi="Calibri"/>
    </w:rPr>
  </w:style>
  <w:style w:type="character" w:styleId="Kiemels2">
    <w:name w:val="Strong"/>
    <w:basedOn w:val="Bekezdsalapbettpusa"/>
    <w:uiPriority w:val="22"/>
    <w:rsid w:val="007F1BE1"/>
    <w:rPr>
      <w:b/>
      <w:bCs/>
    </w:rPr>
  </w:style>
  <w:style w:type="character" w:styleId="Kiemels">
    <w:name w:val="Emphasis"/>
    <w:basedOn w:val="Bekezdsalapbettpusa"/>
    <w:uiPriority w:val="6"/>
    <w:qFormat/>
    <w:rsid w:val="007F1BE1"/>
    <w:rPr>
      <w:i/>
      <w:iCs/>
    </w:rPr>
  </w:style>
  <w:style w:type="paragraph" w:styleId="Nincstrkz">
    <w:name w:val="No Spacing"/>
    <w:basedOn w:val="Norml"/>
    <w:uiPriority w:val="1"/>
    <w:rsid w:val="007F1BE1"/>
    <w:rPr>
      <w:szCs w:val="32"/>
    </w:rPr>
  </w:style>
  <w:style w:type="paragraph" w:styleId="Idzet">
    <w:name w:val="Quote"/>
    <w:basedOn w:val="Norml"/>
    <w:next w:val="Norml"/>
    <w:link w:val="IdzetChar"/>
    <w:uiPriority w:val="29"/>
    <w:rsid w:val="007F1BE1"/>
    <w:rPr>
      <w:i/>
    </w:rPr>
  </w:style>
  <w:style w:type="character" w:customStyle="1" w:styleId="IdzetChar">
    <w:name w:val="Idézet Char"/>
    <w:basedOn w:val="Bekezdsalapbettpusa"/>
    <w:link w:val="Idzet"/>
    <w:uiPriority w:val="29"/>
    <w:rsid w:val="007F1BE1"/>
    <w:rPr>
      <w:rFonts w:ascii="Calibri" w:hAnsi="Calibri"/>
      <w:i/>
    </w:rPr>
  </w:style>
  <w:style w:type="paragraph" w:styleId="Kiemeltidzet">
    <w:name w:val="Intense Quote"/>
    <w:basedOn w:val="Norml"/>
    <w:next w:val="Norml"/>
    <w:link w:val="KiemeltidzetChar"/>
    <w:uiPriority w:val="30"/>
    <w:rsid w:val="007F1BE1"/>
    <w:pPr>
      <w:ind w:left="720" w:right="720"/>
    </w:pPr>
    <w:rPr>
      <w:b/>
      <w:i/>
    </w:rPr>
  </w:style>
  <w:style w:type="character" w:customStyle="1" w:styleId="KiemeltidzetChar">
    <w:name w:val="Kiemelt idézet Char"/>
    <w:basedOn w:val="Bekezdsalapbettpusa"/>
    <w:link w:val="Kiemeltidzet"/>
    <w:uiPriority w:val="30"/>
    <w:rsid w:val="007F1BE1"/>
    <w:rPr>
      <w:rFonts w:ascii="Calibri" w:hAnsi="Calibri"/>
      <w:b/>
      <w:i/>
    </w:rPr>
  </w:style>
  <w:style w:type="character" w:styleId="Ershangslyozs">
    <w:name w:val="Intense Emphasis"/>
    <w:basedOn w:val="Bekezdsalapbettpusa"/>
    <w:uiPriority w:val="21"/>
    <w:rsid w:val="007F1BE1"/>
    <w:rPr>
      <w:b/>
      <w:i/>
      <w:sz w:val="24"/>
      <w:szCs w:val="24"/>
      <w:u w:val="single"/>
    </w:rPr>
  </w:style>
  <w:style w:type="character" w:styleId="Knyvcme">
    <w:name w:val="Book Title"/>
    <w:basedOn w:val="Bekezdsalapbettpusa"/>
    <w:uiPriority w:val="33"/>
    <w:rsid w:val="007F1BE1"/>
    <w:rPr>
      <w:rFonts w:ascii="Calibri" w:eastAsiaTheme="majorEastAsia" w:hAnsi="Calibri"/>
      <w:b/>
      <w:i/>
      <w:sz w:val="24"/>
      <w:szCs w:val="24"/>
    </w:rPr>
  </w:style>
  <w:style w:type="paragraph" w:customStyle="1" w:styleId="Szvegdobozstlus">
    <w:name w:val="Szövegdoboz stílus"/>
    <w:basedOn w:val="HierarchikusLista0"/>
    <w:qFormat/>
    <w:rsid w:val="007F1BE1"/>
    <w:rPr>
      <w:b/>
      <w:i/>
      <w:color w:val="7E5C1D" w:themeColor="accent1"/>
    </w:rPr>
  </w:style>
  <w:style w:type="table" w:customStyle="1" w:styleId="Rcsos">
    <w:name w:val="Rácsos"/>
    <w:basedOn w:val="Normltblzat"/>
    <w:uiPriority w:val="99"/>
    <w:rsid w:val="007F1BE1"/>
    <w:rPr>
      <w:rFonts w:asciiTheme="majorHAnsi" w:hAnsiTheme="majorHAnsi"/>
      <w:color w:val="202653" w:themeColor="accent5"/>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basedOn w:val="Bekezdsalapbettpusa"/>
    <w:uiPriority w:val="99"/>
    <w:semiHidden/>
    <w:rsid w:val="00593944"/>
    <w:rPr>
      <w:rFonts w:cs="Times New Roman"/>
      <w:vertAlign w:val="superscript"/>
    </w:rPr>
  </w:style>
  <w:style w:type="table" w:customStyle="1" w:styleId="tblzat-fejlces1">
    <w:name w:val="táblázat - fejléces1"/>
    <w:basedOn w:val="Normltblzat"/>
    <w:uiPriority w:val="1"/>
    <w:qFormat/>
    <w:rsid w:val="00593944"/>
    <w:pPr>
      <w:contextualSpacing/>
    </w:pPr>
    <w:rPr>
      <w:rFonts w:asciiTheme="majorHAnsi" w:eastAsia="Calibri" w:hAnsiTheme="majorHAnsi"/>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character" w:styleId="Jegyzethivatkozs">
    <w:name w:val="annotation reference"/>
    <w:basedOn w:val="Bekezdsalapbettpusa"/>
    <w:uiPriority w:val="99"/>
    <w:semiHidden/>
    <w:unhideWhenUsed/>
    <w:rsid w:val="00412F67"/>
    <w:rPr>
      <w:sz w:val="16"/>
      <w:szCs w:val="16"/>
    </w:rPr>
  </w:style>
  <w:style w:type="paragraph" w:styleId="Jegyzetszveg">
    <w:name w:val="annotation text"/>
    <w:basedOn w:val="Norml"/>
    <w:link w:val="JegyzetszvegChar"/>
    <w:uiPriority w:val="99"/>
    <w:semiHidden/>
    <w:unhideWhenUsed/>
    <w:rsid w:val="00412F67"/>
    <w:pPr>
      <w:spacing w:line="240" w:lineRule="auto"/>
    </w:pPr>
    <w:rPr>
      <w:szCs w:val="20"/>
    </w:rPr>
  </w:style>
  <w:style w:type="character" w:customStyle="1" w:styleId="JegyzetszvegChar">
    <w:name w:val="Jegyzetszöveg Char"/>
    <w:basedOn w:val="Bekezdsalapbettpusa"/>
    <w:link w:val="Jegyzetszveg"/>
    <w:uiPriority w:val="99"/>
    <w:semiHidden/>
    <w:rsid w:val="00412F67"/>
    <w:rPr>
      <w:rFonts w:ascii="Calibri" w:hAnsi="Calibri"/>
      <w:szCs w:val="20"/>
    </w:rPr>
  </w:style>
  <w:style w:type="paragraph" w:styleId="Megjegyzstrgya">
    <w:name w:val="annotation subject"/>
    <w:basedOn w:val="Jegyzetszveg"/>
    <w:next w:val="Jegyzetszveg"/>
    <w:link w:val="MegjegyzstrgyaChar"/>
    <w:uiPriority w:val="99"/>
    <w:semiHidden/>
    <w:unhideWhenUsed/>
    <w:rsid w:val="00412F67"/>
    <w:rPr>
      <w:b/>
      <w:bCs/>
    </w:rPr>
  </w:style>
  <w:style w:type="character" w:customStyle="1" w:styleId="MegjegyzstrgyaChar">
    <w:name w:val="Megjegyzés tárgya Char"/>
    <w:basedOn w:val="JegyzetszvegChar"/>
    <w:link w:val="Megjegyzstrgya"/>
    <w:uiPriority w:val="99"/>
    <w:semiHidden/>
    <w:rsid w:val="00412F67"/>
    <w:rPr>
      <w:rFonts w:ascii="Calibri" w:hAnsi="Calibr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DD028E67-A8B0-4C93-ABA1-DB53B52A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4836</Words>
  <Characters>33376</Characters>
  <Application>Microsoft Office Word</Application>
  <DocSecurity>0</DocSecurity>
  <Lines>278</Lines>
  <Paragraphs>76</Paragraphs>
  <ScaleCrop>false</ScaleCrop>
  <HeadingPairs>
    <vt:vector size="2" baseType="variant">
      <vt:variant>
        <vt:lpstr>Cím</vt:lpstr>
      </vt:variant>
      <vt:variant>
        <vt:i4>1</vt:i4>
      </vt:variant>
    </vt:vector>
  </HeadingPairs>
  <TitlesOfParts>
    <vt:vector size="1" baseType="lpstr">
      <vt:lpstr/>
    </vt:vector>
  </TitlesOfParts>
  <Company>Magyar Nemzeti Bank</Company>
  <LinksUpToDate>false</LinksUpToDate>
  <CharactersWithSpaces>38136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Fenyvesi Réka</dc:creator>
  <cp:lastModifiedBy>Fenyvesi Réka</cp:lastModifiedBy>
  <cp:revision>2</cp:revision>
  <cp:lastPrinted>2015-11-20T13:27:00Z</cp:lastPrinted>
  <dcterms:created xsi:type="dcterms:W3CDTF">2015-12-01T11:23:00Z</dcterms:created>
  <dcterms:modified xsi:type="dcterms:W3CDTF">2015-12-01T11:23:00Z</dcterms:modified>
</cp:coreProperties>
</file>