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E6" w:rsidRDefault="003F28E6" w:rsidP="003F28E6">
      <w:pPr>
        <w:jc w:val="center"/>
        <w:rPr>
          <w:rFonts w:cstheme="minorHAnsi"/>
          <w:b/>
          <w:caps/>
          <w:sz w:val="28"/>
          <w:szCs w:val="28"/>
        </w:rPr>
      </w:pPr>
      <w:r w:rsidRPr="00034FDF">
        <w:rPr>
          <w:b/>
          <w:sz w:val="28"/>
          <w:szCs w:val="28"/>
        </w:rPr>
        <w:t xml:space="preserve">TECHNIKAI SEGÉDLET </w:t>
      </w:r>
      <w:r w:rsidRPr="003F28E6">
        <w:rPr>
          <w:rFonts w:cstheme="minorHAnsi"/>
          <w:b/>
          <w:caps/>
          <w:sz w:val="28"/>
          <w:szCs w:val="28"/>
        </w:rPr>
        <w:t xml:space="preserve">az intézmények </w:t>
      </w:r>
      <w:proofErr w:type="spellStart"/>
      <w:r w:rsidRPr="003F28E6">
        <w:rPr>
          <w:rFonts w:cstheme="minorHAnsi"/>
          <w:b/>
          <w:caps/>
          <w:sz w:val="28"/>
          <w:szCs w:val="28"/>
        </w:rPr>
        <w:t>CRR</w:t>
      </w:r>
      <w:proofErr w:type="spellEnd"/>
      <w:r w:rsidRPr="003F28E6">
        <w:rPr>
          <w:rFonts w:cstheme="minorHAnsi"/>
          <w:b/>
          <w:caps/>
          <w:sz w:val="28"/>
          <w:szCs w:val="28"/>
        </w:rPr>
        <w:t xml:space="preserve"> szerinti felügyeleti adatszolgáltatásáról szóló 680/2014/EU végrehajtási rendeletéhez</w:t>
      </w:r>
    </w:p>
    <w:p w:rsidR="003F28E6" w:rsidRPr="00554C56" w:rsidRDefault="003F28E6" w:rsidP="0067651F">
      <w:pPr>
        <w:pStyle w:val="Listaszerbekezds"/>
        <w:numPr>
          <w:ilvl w:val="0"/>
          <w:numId w:val="0"/>
        </w:numPr>
        <w:ind w:left="1080"/>
        <w:jc w:val="center"/>
        <w:rPr>
          <w:b/>
          <w:sz w:val="28"/>
          <w:szCs w:val="28"/>
        </w:rPr>
      </w:pPr>
      <w:r w:rsidRPr="00554C56">
        <w:rPr>
          <w:b/>
          <w:sz w:val="28"/>
          <w:szCs w:val="28"/>
        </w:rPr>
        <w:t xml:space="preserve">A </w:t>
      </w:r>
      <w:proofErr w:type="spellStart"/>
      <w:r w:rsidRPr="00554C56">
        <w:rPr>
          <w:b/>
          <w:sz w:val="28"/>
          <w:szCs w:val="28"/>
        </w:rPr>
        <w:t>FINREP</w:t>
      </w:r>
      <w:proofErr w:type="spellEnd"/>
      <w:r w:rsidRPr="00554C56">
        <w:rPr>
          <w:b/>
          <w:sz w:val="28"/>
          <w:szCs w:val="28"/>
        </w:rPr>
        <w:t xml:space="preserve"> adatszolgáltatásban alkalmazott ügyfélszektorok</w:t>
      </w:r>
    </w:p>
    <w:tbl>
      <w:tblPr>
        <w:tblW w:w="5458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4894"/>
        <w:gridCol w:w="3683"/>
        <w:gridCol w:w="5088"/>
      </w:tblGrid>
      <w:tr w:rsidR="003F28E6" w:rsidRPr="005242BA" w:rsidTr="00894ECD">
        <w:trPr>
          <w:trHeight w:val="255"/>
        </w:trPr>
        <w:tc>
          <w:tcPr>
            <w:tcW w:w="2159" w:type="pct"/>
            <w:gridSpan w:val="2"/>
            <w:shd w:val="clear" w:color="auto" w:fill="auto"/>
            <w:noWrap/>
            <w:vAlign w:val="center"/>
            <w:hideMark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FINREP</w:t>
            </w:r>
            <w:proofErr w:type="spellEnd"/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ügyfélszektorok</w:t>
            </w:r>
            <w:r w:rsidRPr="007A6552">
              <w:rPr>
                <w:rStyle w:val="Lbjegyzet-hivatkozs"/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MNB ügyfélszektorok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Megjegyzés</w:t>
            </w:r>
          </w:p>
        </w:tc>
      </w:tr>
      <w:tr w:rsidR="003F28E6" w:rsidRPr="005242BA" w:rsidTr="00894ECD">
        <w:trPr>
          <w:trHeight w:val="255"/>
        </w:trPr>
        <w:tc>
          <w:tcPr>
            <w:tcW w:w="574" w:type="pct"/>
            <w:shd w:val="clear" w:color="auto" w:fill="auto"/>
            <w:noWrap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Megnevezése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Tartalma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Szektorkód és megnevezés</w:t>
            </w: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8E6" w:rsidRPr="005242BA" w:rsidTr="00894ECD">
        <w:trPr>
          <w:trHeight w:val="99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Központi bankok</w:t>
            </w:r>
          </w:p>
        </w:tc>
        <w:tc>
          <w:tcPr>
            <w:tcW w:w="1585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az MNB és a külföldi központi bankok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B) Központi bank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L) Külföld szektorba tartozó nem-rezidens központi bankok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Ide sorolandó az </w:t>
            </w:r>
            <w:proofErr w:type="spellStart"/>
            <w:r>
              <w:rPr>
                <w:rFonts w:eastAsia="Times New Roman" w:cs="Times New Roman"/>
                <w:color w:val="000000"/>
              </w:rPr>
              <w:t>EKB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is.</w:t>
            </w:r>
          </w:p>
        </w:tc>
      </w:tr>
      <w:tr w:rsidR="003F28E6" w:rsidRPr="005242BA" w:rsidTr="00894ECD">
        <w:trPr>
          <w:trHeight w:val="2565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Államháztartások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C25B7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központi kormányzatok, tartományi vagy regionális kormányzatok és helyi önkormányzatok, ideértve a közigazgatási szerveket és a nem kereskedelmi vállalkozásokat, de ide nem értve az ezen kormányzatok tulajdonában álló, kereskedelmi tevékenységet folytató állami és magánvállalatokat (amelyeket </w:t>
            </w:r>
            <w:r w:rsidR="00C25B76">
              <w:rPr>
                <w:rFonts w:eastAsia="Times New Roman" w:cs="Times New Roman"/>
                <w:color w:val="000000"/>
              </w:rPr>
              <w:t xml:space="preserve">tevékenységüktől függően a „hitelintézetek”, „egyéb pénzügyi vállalatok”, vagy </w:t>
            </w:r>
            <w:r w:rsidRPr="005242BA">
              <w:rPr>
                <w:rFonts w:eastAsia="Times New Roman" w:cs="Times New Roman"/>
                <w:color w:val="000000"/>
              </w:rPr>
              <w:t xml:space="preserve">a „nem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  <w:r w:rsidRPr="005242BA">
              <w:rPr>
                <w:rFonts w:eastAsia="Times New Roman" w:cs="Times New Roman"/>
                <w:color w:val="000000"/>
              </w:rPr>
              <w:t xml:space="preserve">” alatt kell feltüntetni); társadalombiztosítási alapok; és </w:t>
            </w:r>
            <w:r w:rsidRPr="00794FCF">
              <w:rPr>
                <w:rFonts w:eastAsia="Times New Roman" w:cs="Times New Roman"/>
              </w:rPr>
              <w:t xml:space="preserve">nemzetközi szervezetek, mint például az Európai </w:t>
            </w:r>
            <w:r w:rsidR="00C25B76">
              <w:rPr>
                <w:rFonts w:eastAsia="Times New Roman" w:cs="Times New Roman"/>
              </w:rPr>
              <w:t>Unió intézményei</w:t>
            </w:r>
            <w:r w:rsidRPr="00794FCF">
              <w:rPr>
                <w:rFonts w:eastAsia="Times New Roman" w:cs="Times New Roman"/>
              </w:rPr>
              <w:t>, a Nemzetközi Valutaalap és a Nemzetközi Fizetések Bankja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G) Központi kormányzat</w:t>
            </w:r>
            <w:r w:rsidRPr="005242BA">
              <w:rPr>
                <w:rFonts w:eastAsia="Times New Roman" w:cs="Times New Roman"/>
                <w:color w:val="000000"/>
              </w:rPr>
              <w:br/>
              <w:t>H) Helyi önkormányzat</w:t>
            </w:r>
            <w:r w:rsidRPr="005242BA">
              <w:rPr>
                <w:rFonts w:eastAsia="Times New Roman" w:cs="Times New Roman"/>
                <w:color w:val="000000"/>
              </w:rPr>
              <w:br/>
              <w:t>I) Társadalombiztosítási alapok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</w:rPr>
              <w:t>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 rezidens és nem-rezidens regionális (megyei) és helyi (települési és helyi kisebbségi) önkormányzatok mellett ide sorolandók a </w:t>
            </w:r>
            <w:r w:rsidR="002B7816">
              <w:rPr>
                <w:rFonts w:eastAsia="Times New Roman" w:cs="Times New Roman"/>
                <w:i/>
                <w:color w:val="000000"/>
              </w:rPr>
              <w:t>nem-rezidens</w:t>
            </w:r>
            <w:r w:rsidRPr="00851A77">
              <w:rPr>
                <w:rFonts w:eastAsia="Times New Roman" w:cs="Times New Roman"/>
                <w:i/>
                <w:color w:val="000000"/>
              </w:rPr>
              <w:t xml:space="preserve"> tartományi önkormányzatok</w:t>
            </w:r>
            <w:r>
              <w:rPr>
                <w:rFonts w:eastAsia="Times New Roman" w:cs="Times New Roman"/>
                <w:color w:val="000000"/>
              </w:rPr>
              <w:t xml:space="preserve"> is.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:rsidTr="00894ECD">
        <w:trPr>
          <w:trHeight w:val="294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Hitelintézetek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C25B76" w:rsidRPr="005242BA" w:rsidRDefault="003F28E6" w:rsidP="00646D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242BA">
              <w:rPr>
                <w:rFonts w:eastAsia="Times New Roman" w:cs="Times New Roman"/>
                <w:color w:val="000000"/>
              </w:rPr>
              <w:t>CRR</w:t>
            </w:r>
            <w:proofErr w:type="spellEnd"/>
            <w:r w:rsidRPr="005242BA">
              <w:rPr>
                <w:rFonts w:eastAsia="Times New Roman" w:cs="Times New Roman"/>
                <w:color w:val="000000"/>
              </w:rPr>
              <w:t xml:space="preserve"> 4. cikk (1) bekezdés</w:t>
            </w:r>
            <w:r w:rsidR="00C25B76">
              <w:rPr>
                <w:rFonts w:eastAsia="Times New Roman" w:cs="Times New Roman"/>
                <w:color w:val="000000"/>
              </w:rPr>
              <w:t xml:space="preserve"> 1. pontjában</w:t>
            </w:r>
            <w:r w:rsidRPr="005242BA">
              <w:rPr>
                <w:rFonts w:eastAsia="Times New Roman" w:cs="Times New Roman"/>
                <w:color w:val="000000"/>
              </w:rPr>
              <w:t xml:space="preserve"> szereplő fogalomnak megfelelő intézmények („</w:t>
            </w:r>
            <w:r w:rsidRPr="005242BA">
              <w:rPr>
                <w:rFonts w:cs="EUAlbertina"/>
              </w:rPr>
              <w:t>olyan vállalkozás, amely a nyilvánosságtól</w:t>
            </w:r>
            <w:r>
              <w:rPr>
                <w:rFonts w:cs="EUAlbertina"/>
              </w:rPr>
              <w:t xml:space="preserve"> </w:t>
            </w:r>
            <w:r w:rsidRPr="005242BA">
              <w:rPr>
                <w:rFonts w:cs="EUAlbertina"/>
              </w:rPr>
              <w:t>betéteket vagy más visszafizetend</w:t>
            </w:r>
            <w:r w:rsidRPr="005242BA">
              <w:rPr>
                <w:rFonts w:cs="EUAlbertina+01"/>
              </w:rPr>
              <w:t xml:space="preserve">ő </w:t>
            </w:r>
            <w:r w:rsidRPr="005242BA">
              <w:rPr>
                <w:rFonts w:cs="EUAlbertina"/>
              </w:rPr>
              <w:t>pénzeszközöket fogad</w:t>
            </w:r>
            <w:r>
              <w:rPr>
                <w:rFonts w:cs="EUAlbertina"/>
              </w:rPr>
              <w:t xml:space="preserve"> </w:t>
            </w:r>
            <w:r w:rsidRPr="005242BA">
              <w:rPr>
                <w:rFonts w:cs="EUAlbertina"/>
              </w:rPr>
              <w:t>el, valamint saját számlára hiteleket nyújt”)</w:t>
            </w:r>
            <w:r w:rsidRPr="005242BA">
              <w:rPr>
                <w:rFonts w:eastAsia="Times New Roman" w:cs="Times New Roman"/>
                <w:color w:val="000000"/>
              </w:rPr>
              <w:t xml:space="preserve"> és a </w:t>
            </w:r>
            <w:r w:rsidRPr="00794FCF">
              <w:rPr>
                <w:rFonts w:eastAsia="Times New Roman" w:cs="Times New Roman"/>
              </w:rPr>
              <w:t xml:space="preserve">multilaterális </w:t>
            </w:r>
            <w:r w:rsidR="00C25B76">
              <w:rPr>
                <w:rFonts w:eastAsia="Times New Roman" w:cs="Times New Roman"/>
              </w:rPr>
              <w:t xml:space="preserve">fejlesztési </w:t>
            </w:r>
            <w:r w:rsidRPr="00794FCF">
              <w:rPr>
                <w:rFonts w:eastAsia="Times New Roman" w:cs="Times New Roman"/>
              </w:rPr>
              <w:t>bankok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 C) Egyéb monetáris pénzügyi intézmények szektorba sorolt hitelintéze</w:t>
            </w:r>
            <w:r>
              <w:rPr>
                <w:rFonts w:eastAsia="Times New Roman" w:cs="Times New Roman"/>
                <w:color w:val="000000"/>
              </w:rPr>
              <w:t>tek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  <w:r w:rsidR="00B858F4">
              <w:rPr>
                <w:rFonts w:eastAsia="Times New Roman" w:cs="Times New Roman"/>
                <w:color w:val="000000"/>
              </w:rPr>
              <w:t xml:space="preserve"> és a multilaterális fejlesztési bankok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:rsidR="003F28E6" w:rsidRPr="005242BA" w:rsidRDefault="003F28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:rsidTr="00894ECD">
        <w:trPr>
          <w:trHeight w:val="222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lastRenderedPageBreak/>
              <w:t xml:space="preserve">Egyéb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C25B7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az összes olyan pénzügyi </w:t>
            </w:r>
            <w:r w:rsidR="00C25B76">
              <w:rPr>
                <w:rFonts w:eastAsia="Times New Roman" w:cs="Times New Roman"/>
                <w:color w:val="000000"/>
              </w:rPr>
              <w:t>vállalat</w:t>
            </w:r>
            <w:r w:rsidR="00C25B76" w:rsidRPr="005242BA">
              <w:rPr>
                <w:rFonts w:eastAsia="Times New Roman" w:cs="Times New Roman"/>
                <w:color w:val="000000"/>
              </w:rPr>
              <w:t xml:space="preserve"> </w:t>
            </w:r>
            <w:r w:rsidRPr="005242BA">
              <w:rPr>
                <w:rFonts w:eastAsia="Times New Roman" w:cs="Times New Roman"/>
                <w:color w:val="000000"/>
              </w:rPr>
              <w:t>és kvázi vállalkozás</w:t>
            </w:r>
            <w:r>
              <w:rPr>
                <w:rStyle w:val="Lbjegyzet-hivatkozs"/>
                <w:rFonts w:eastAsia="Times New Roman" w:cs="Times New Roman"/>
                <w:color w:val="000000"/>
              </w:rPr>
              <w:footnoteReference w:id="2"/>
            </w:r>
            <w:r w:rsidRPr="005242BA">
              <w:rPr>
                <w:rFonts w:eastAsia="Times New Roman" w:cs="Times New Roman"/>
                <w:color w:val="000000"/>
              </w:rPr>
              <w:t>, amely nem hitelintézet, mint például a befektetési vállalkozások, befektetési alapok, biztosítók, nyugdíjalapok, kollektív befektetési vállalkozások és elszámolóházak, valamint a többi pénzügyi közvetítő és pénzügyi kiegészítő tevékenységet végzők</w:t>
            </w:r>
            <w:r w:rsidR="00C25B76">
              <w:rPr>
                <w:rFonts w:eastAsia="Times New Roman" w:cs="Times New Roman"/>
                <w:color w:val="000000"/>
              </w:rPr>
              <w:t xml:space="preserve">, továbbá </w:t>
            </w:r>
            <w:proofErr w:type="spellStart"/>
            <w:r w:rsidR="00C25B76">
              <w:rPr>
                <w:rFonts w:eastAsia="Times New Roman" w:cs="Times New Roman"/>
                <w:color w:val="000000"/>
              </w:rPr>
              <w:t>captive</w:t>
            </w:r>
            <w:proofErr w:type="spellEnd"/>
            <w:r w:rsidR="00C25B76">
              <w:rPr>
                <w:rFonts w:eastAsia="Times New Roman" w:cs="Times New Roman"/>
                <w:color w:val="000000"/>
              </w:rPr>
              <w:t xml:space="preserve"> finanszírozók és pénzkölcsönzők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C) Egyéb monetáris pénzügyi intézmények</w:t>
            </w:r>
            <w:r>
              <w:rPr>
                <w:rFonts w:eastAsia="Times New Roman" w:cs="Times New Roman"/>
                <w:color w:val="000000"/>
              </w:rPr>
              <w:t xml:space="preserve"> szektorba sorolt intézmények a hitelintézetek kivételével</w:t>
            </w:r>
            <w:r w:rsidRPr="005242BA">
              <w:rPr>
                <w:rFonts w:eastAsia="Times New Roman" w:cs="Times New Roman"/>
                <w:color w:val="000000"/>
              </w:rPr>
              <w:t xml:space="preserve"> </w:t>
            </w:r>
            <w:r w:rsidRPr="005242BA">
              <w:rPr>
                <w:rFonts w:eastAsia="Times New Roman" w:cs="Times New Roman"/>
                <w:color w:val="000000"/>
              </w:rPr>
              <w:br/>
              <w:t>D) Egyéb pénzügyi közvetítők</w:t>
            </w:r>
            <w:r w:rsidRPr="005242BA">
              <w:rPr>
                <w:rFonts w:eastAsia="Times New Roman" w:cs="Times New Roman"/>
                <w:color w:val="000000"/>
              </w:rPr>
              <w:br/>
              <w:t>E) Pénzügyi kiegészítő tevé</w:t>
            </w:r>
            <w:r>
              <w:rPr>
                <w:rFonts w:eastAsia="Times New Roman" w:cs="Times New Roman"/>
                <w:color w:val="000000"/>
              </w:rPr>
              <w:t>kenységet végzők</w:t>
            </w:r>
            <w:r>
              <w:rPr>
                <w:rFonts w:eastAsia="Times New Roman" w:cs="Times New Roman"/>
                <w:color w:val="000000"/>
              </w:rPr>
              <w:br/>
              <w:t>F) Biztosító</w:t>
            </w:r>
            <w:r w:rsidRPr="005242BA">
              <w:rPr>
                <w:rFonts w:eastAsia="Times New Roman" w:cs="Times New Roman"/>
                <w:color w:val="000000"/>
              </w:rPr>
              <w:t>k és nyugdíjpénztárak</w:t>
            </w:r>
            <w:r w:rsidRPr="005242BA">
              <w:rPr>
                <w:rFonts w:eastAsia="Times New Roman" w:cs="Times New Roman"/>
                <w:color w:val="000000"/>
              </w:rPr>
              <w:br/>
            </w: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</w:t>
            </w:r>
            <w:r>
              <w:rPr>
                <w:rFonts w:eastAsia="Times New Roman" w:cs="Times New Roman"/>
                <w:color w:val="000000"/>
              </w:rPr>
              <w:t>z MNB szektorbesorolás szerint a</w:t>
            </w:r>
            <w:r w:rsidRPr="005242BA">
              <w:rPr>
                <w:rFonts w:eastAsia="Times New Roman" w:cs="Times New Roman"/>
                <w:color w:val="000000"/>
              </w:rPr>
              <w:t xml:space="preserve"> "</w:t>
            </w:r>
            <w:r w:rsidRPr="00252E71">
              <w:rPr>
                <w:rFonts w:eastAsia="Times New Roman" w:cs="Times New Roman"/>
                <w:i/>
                <w:color w:val="000000"/>
              </w:rPr>
              <w:t xml:space="preserve">C) Egyéb monetáris pénzügyi intézmények </w:t>
            </w:r>
            <w:r>
              <w:rPr>
                <w:rFonts w:eastAsia="Times New Roman" w:cs="Times New Roman"/>
                <w:i/>
                <w:color w:val="000000"/>
              </w:rPr>
              <w:t>szektorba sorolt intézmények a hitelintézetek kivételével</w:t>
            </w:r>
            <w:r w:rsidRPr="00252E71">
              <w:rPr>
                <w:rFonts w:eastAsia="Times New Roman" w:cs="Times New Roman"/>
                <w:i/>
                <w:color w:val="000000"/>
              </w:rPr>
              <w:t xml:space="preserve">" </w:t>
            </w:r>
            <w:r w:rsidRPr="005242BA">
              <w:rPr>
                <w:rFonts w:eastAsia="Times New Roman" w:cs="Times New Roman"/>
                <w:color w:val="000000"/>
              </w:rPr>
              <w:t>tartalmaz</w:t>
            </w:r>
            <w:r>
              <w:rPr>
                <w:rFonts w:eastAsia="Times New Roman" w:cs="Times New Roman"/>
                <w:color w:val="000000"/>
              </w:rPr>
              <w:t xml:space="preserve">za </w:t>
            </w:r>
            <w:r w:rsidRPr="00851A77">
              <w:rPr>
                <w:rFonts w:eastAsia="Times New Roman" w:cs="Times New Roman"/>
                <w:color w:val="000000"/>
              </w:rPr>
              <w:t>a pénzpiaci alapokat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color w:val="000000"/>
              </w:rPr>
              <w:t>FINREP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„</w:t>
            </w:r>
            <w:r w:rsidRPr="00851A77">
              <w:rPr>
                <w:rFonts w:eastAsia="Times New Roman" w:cs="Times New Roman"/>
                <w:i/>
                <w:color w:val="000000"/>
              </w:rPr>
              <w:t xml:space="preserve">Egyéb pénzügyi </w:t>
            </w:r>
            <w:r w:rsidR="00336D46">
              <w:rPr>
                <w:rFonts w:eastAsia="Times New Roman" w:cs="Times New Roman"/>
                <w:i/>
                <w:color w:val="000000"/>
              </w:rPr>
              <w:t>vállalatok</w:t>
            </w:r>
            <w:r>
              <w:rPr>
                <w:rFonts w:eastAsia="Times New Roman" w:cs="Times New Roman"/>
                <w:color w:val="000000"/>
              </w:rPr>
              <w:t xml:space="preserve">” szektorában szerepelnek a </w:t>
            </w:r>
            <w:proofErr w:type="spellStart"/>
            <w:r>
              <w:rPr>
                <w:rFonts w:eastAsia="Times New Roman" w:cs="Times New Roman"/>
                <w:color w:val="000000"/>
              </w:rPr>
              <w:t>prudenciális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szempontból hitelintézetnek minősülő pénzügyi vállalkozások is, amelyek az MNB szektor-meghatározás szerint a D) illetve E) szektorba tartoznak.</w:t>
            </w:r>
          </w:p>
        </w:tc>
      </w:tr>
      <w:tr w:rsidR="003F28E6" w:rsidRPr="005242BA" w:rsidTr="00894ECD">
        <w:trPr>
          <w:trHeight w:val="102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Nem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C25B7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olyan vállalkozások és kvázi-vállalkozások, amelyek nem a pénzügyi közvetítésben, hanem elsősorban a piaci javak előállításában és nem pénzügyi szolgáltatások nyújtásában vesznek részt az </w:t>
            </w:r>
            <w:proofErr w:type="spellStart"/>
            <w:r w:rsidRPr="005242BA">
              <w:rPr>
                <w:rFonts w:eastAsia="Times New Roman" w:cs="Times New Roman"/>
                <w:color w:val="000000"/>
              </w:rPr>
              <w:t>EKB</w:t>
            </w:r>
            <w:proofErr w:type="spellEnd"/>
            <w:r w:rsidRPr="005242B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242BA">
              <w:rPr>
                <w:rFonts w:eastAsia="Times New Roman" w:cs="Times New Roman"/>
                <w:color w:val="000000"/>
              </w:rPr>
              <w:t>BSI</w:t>
            </w:r>
            <w:proofErr w:type="spellEnd"/>
            <w:r w:rsidRPr="005242BA">
              <w:rPr>
                <w:rFonts w:eastAsia="Times New Roman" w:cs="Times New Roman"/>
                <w:color w:val="000000"/>
              </w:rPr>
              <w:t xml:space="preserve"> rendelettel összhangban. 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A) Nem pénzügyi vállalatok</w:t>
            </w:r>
            <w:r w:rsidRPr="005242BA">
              <w:rPr>
                <w:rFonts w:eastAsia="Times New Roman" w:cs="Times New Roman"/>
                <w:color w:val="000000"/>
              </w:rPr>
              <w:br/>
            </w: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:rsidTr="00894ECD">
        <w:trPr>
          <w:trHeight w:val="255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Háztartások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C25B7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magánszemélyek vagy magánszemélyek egy csoportja fogyasztóként,</w:t>
            </w:r>
            <w:r w:rsidR="00C25B76">
              <w:rPr>
                <w:rFonts w:eastAsia="Times New Roman" w:cs="Times New Roman"/>
                <w:color w:val="000000"/>
              </w:rPr>
              <w:t xml:space="preserve"> kizárólag saját fogyasztásra előállított</w:t>
            </w:r>
            <w:r w:rsidRPr="005242BA">
              <w:rPr>
                <w:rFonts w:eastAsia="Times New Roman" w:cs="Times New Roman"/>
                <w:color w:val="000000"/>
              </w:rPr>
              <w:t xml:space="preserve"> áruk és nem pénzügyi szolgáltatások előállítóiként, valamint piaci javak</w:t>
            </w:r>
            <w:r w:rsidR="00C25B76">
              <w:rPr>
                <w:rFonts w:eastAsia="Times New Roman" w:cs="Times New Roman"/>
                <w:color w:val="000000"/>
              </w:rPr>
              <w:t>,</w:t>
            </w:r>
            <w:r w:rsidRPr="005242BA">
              <w:rPr>
                <w:rFonts w:eastAsia="Times New Roman" w:cs="Times New Roman"/>
                <w:color w:val="000000"/>
              </w:rPr>
              <w:t xml:space="preserve"> nem pénzügyi és pénzügyi szolgáltatások előállítóiként, feltéve, hogy tevékenységük nem azonos a kvázi vállalkozások tevékenységével. Idetartoznak még azok a nonprofit intézmények, amelyek háztartásokat szolgálnak ki, és amelyek elsősorban nem piaci javak és szolgáltatások előállításával foglalkoznak háztartások meghatározott csoportjai számára. 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J) Háztartások</w:t>
            </w:r>
            <w:r w:rsidRPr="005242BA">
              <w:rPr>
                <w:rFonts w:eastAsia="Times New Roman" w:cs="Times New Roman"/>
                <w:color w:val="000000"/>
              </w:rPr>
              <w:br/>
              <w:t>K) Háztartásokat segítő nonprofit intézmények</w:t>
            </w:r>
            <w:r w:rsidRPr="005242BA">
              <w:rPr>
                <w:rFonts w:eastAsia="Times New Roman" w:cs="Times New Roman"/>
                <w:color w:val="000000"/>
              </w:rPr>
              <w:br/>
            </w: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</w:tbl>
    <w:p w:rsidR="00554C56" w:rsidRDefault="00554C56" w:rsidP="003F28E6"/>
    <w:p w:rsidR="0018619A" w:rsidRPr="0018619A" w:rsidRDefault="00E50301" w:rsidP="003F28E6">
      <w:r>
        <w:t xml:space="preserve">Az adatszolgáltatás </w:t>
      </w:r>
      <w:r w:rsidR="00554C56">
        <w:t>összeállításában további segítséget nyújthat</w:t>
      </w:r>
      <w:r>
        <w:t xml:space="preserve"> az</w:t>
      </w:r>
      <w:r w:rsidR="00554C56">
        <w:t xml:space="preserve"> </w:t>
      </w:r>
      <w:proofErr w:type="spellStart"/>
      <w:r w:rsidR="00554C56">
        <w:t>EKB</w:t>
      </w:r>
      <w:proofErr w:type="spellEnd"/>
      <w:r w:rsidR="00554C56">
        <w:t xml:space="preserve"> és az </w:t>
      </w:r>
      <w:proofErr w:type="spellStart"/>
      <w:r w:rsidR="00554C56">
        <w:t>EBA</w:t>
      </w:r>
      <w:proofErr w:type="spellEnd"/>
      <w:r w:rsidR="00554C56">
        <w:t xml:space="preserve"> által készített, az egyes monetáris statisztikai (pl. </w:t>
      </w:r>
      <w:proofErr w:type="spellStart"/>
      <w:r w:rsidR="00554C56">
        <w:t>BSI</w:t>
      </w:r>
      <w:proofErr w:type="spellEnd"/>
      <w:r w:rsidR="00554C56">
        <w:t xml:space="preserve">, </w:t>
      </w:r>
      <w:proofErr w:type="spellStart"/>
      <w:r w:rsidR="00554C56">
        <w:t>MIR</w:t>
      </w:r>
      <w:proofErr w:type="spellEnd"/>
      <w:r w:rsidR="00554C56">
        <w:t>) és felügyeleti adatszolgáltatások (</w:t>
      </w:r>
      <w:r>
        <w:t xml:space="preserve">pl. </w:t>
      </w:r>
      <w:proofErr w:type="spellStart"/>
      <w:r>
        <w:t>COREP</w:t>
      </w:r>
      <w:proofErr w:type="spellEnd"/>
      <w:r>
        <w:t xml:space="preserve">, </w:t>
      </w:r>
      <w:proofErr w:type="spellStart"/>
      <w:r>
        <w:t>FINREP</w:t>
      </w:r>
      <w:proofErr w:type="spellEnd"/>
      <w:r>
        <w:t xml:space="preserve">) </w:t>
      </w:r>
      <w:r w:rsidR="00554C56">
        <w:t>ö</w:t>
      </w:r>
      <w:r>
        <w:t>sszehasonlítá</w:t>
      </w:r>
      <w:r w:rsidR="00554C56">
        <w:t>sát tartalmazó kézi</w:t>
      </w:r>
      <w:r>
        <w:t xml:space="preserve">könyv: </w:t>
      </w:r>
      <w:hyperlink r:id="rId8" w:history="1">
        <w:r w:rsidRPr="00E13290">
          <w:rPr>
            <w:rStyle w:val="Hiperhivatkozs"/>
            <w:vertAlign w:val="baseline"/>
          </w:rPr>
          <w:t>http://www.eba.europa.eu/documents/10180/710487/JEGR_Manual_2014.pdf</w:t>
        </w:r>
      </w:hyperlink>
      <w:r>
        <w:t xml:space="preserve"> </w:t>
      </w:r>
    </w:p>
    <w:sectPr w:rsidR="0018619A" w:rsidRPr="0018619A" w:rsidSect="002D6822">
      <w:headerReference w:type="default" r:id="rId9"/>
      <w:footerReference w:type="default" r:id="rId10"/>
      <w:pgSz w:w="16838" w:h="11906" w:orient="landscape" w:code="9"/>
      <w:pgMar w:top="119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93" w:rsidRDefault="00C76093">
      <w:r>
        <w:separator/>
      </w:r>
    </w:p>
  </w:endnote>
  <w:endnote w:type="continuationSeparator" w:id="0">
    <w:p w:rsidR="00C76093" w:rsidRDefault="00C7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A51052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A51052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93" w:rsidRDefault="00C76093">
      <w:r>
        <w:separator/>
      </w:r>
    </w:p>
  </w:footnote>
  <w:footnote w:type="continuationSeparator" w:id="0">
    <w:p w:rsidR="00C76093" w:rsidRDefault="00C76093">
      <w:r>
        <w:continuationSeparator/>
      </w:r>
    </w:p>
  </w:footnote>
  <w:footnote w:id="1">
    <w:p w:rsidR="003F28E6" w:rsidRDefault="003F28E6" w:rsidP="003F28E6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FINREP</w:t>
      </w:r>
      <w:proofErr w:type="spellEnd"/>
      <w:r>
        <w:t xml:space="preserve"> ügyfélszektor meghatározás nem tesz különbséget a rezidens és nem-rezidens ügyfelek között.</w:t>
      </w:r>
    </w:p>
  </w:footnote>
  <w:footnote w:id="2">
    <w:p w:rsidR="003F28E6" w:rsidRPr="003A132A" w:rsidRDefault="003F28E6" w:rsidP="003F28E6">
      <w:pPr>
        <w:pStyle w:val="Listaszerbekezds"/>
        <w:numPr>
          <w:ilvl w:val="0"/>
          <w:numId w:val="0"/>
        </w:numPr>
        <w:spacing w:after="0"/>
        <w:ind w:left="425"/>
        <w:rPr>
          <w:rFonts w:cstheme="minorHAnsi"/>
          <w:sz w:val="16"/>
          <w:szCs w:val="16"/>
        </w:rPr>
      </w:pPr>
      <w:r w:rsidRPr="003A132A">
        <w:rPr>
          <w:rStyle w:val="Lbjegyzet-hivatkozs"/>
          <w:sz w:val="16"/>
          <w:szCs w:val="16"/>
        </w:rPr>
        <w:footnoteRef/>
      </w:r>
      <w:r w:rsidRPr="003A132A">
        <w:rPr>
          <w:sz w:val="16"/>
          <w:szCs w:val="16"/>
        </w:rPr>
        <w:t xml:space="preserve"> A kvázi-vállalkozások</w:t>
      </w:r>
      <w:r w:rsidRPr="003A132A">
        <w:rPr>
          <w:rFonts w:cstheme="minorHAnsi"/>
          <w:sz w:val="16"/>
          <w:szCs w:val="16"/>
        </w:rPr>
        <w:t xml:space="preserve"> fogalmat az ESA95 szabvány definiálja:</w:t>
      </w:r>
    </w:p>
    <w:p w:rsidR="003F28E6" w:rsidRPr="003A132A" w:rsidRDefault="003F28E6" w:rsidP="003F28E6">
      <w:pPr>
        <w:pStyle w:val="Lista"/>
        <w:ind w:left="426" w:firstLine="0"/>
        <w:jc w:val="both"/>
        <w:rPr>
          <w:rFonts w:asciiTheme="minorHAnsi" w:hAnsiTheme="minorHAnsi"/>
          <w:sz w:val="16"/>
          <w:szCs w:val="16"/>
        </w:rPr>
      </w:pPr>
      <w:r w:rsidRPr="003A132A">
        <w:rPr>
          <w:sz w:val="16"/>
          <w:szCs w:val="16"/>
        </w:rPr>
        <w:t>„</w:t>
      </w:r>
      <w:r w:rsidRPr="003A132A">
        <w:rPr>
          <w:rFonts w:asciiTheme="minorHAnsi" w:hAnsiTheme="minorHAnsi"/>
          <w:sz w:val="16"/>
          <w:szCs w:val="16"/>
        </w:rPr>
        <w:t>2.24. A „nem-pénzügyi kvázi vállalatok” kifejezés minden olyan önálló jogi személyiséggel nem rendelkező szervezetet jelöl, amely piaci termelő és fő tevékenysége termékek és nem-pénzügyi szolgáltatások előállítása, és amely megfelel a kvázi vállalat definíciós feltételeinek (lásd a 2.13. bekezdés f. pontját).</w:t>
      </w:r>
    </w:p>
    <w:p w:rsidR="003F28E6" w:rsidRPr="003A132A" w:rsidRDefault="003F28E6" w:rsidP="003F28E6">
      <w:pPr>
        <w:pStyle w:val="Listafolytatsa"/>
        <w:spacing w:after="0"/>
        <w:ind w:left="426"/>
        <w:jc w:val="both"/>
        <w:rPr>
          <w:rFonts w:asciiTheme="minorHAnsi" w:hAnsiTheme="minorHAnsi"/>
          <w:sz w:val="16"/>
          <w:szCs w:val="16"/>
        </w:rPr>
      </w:pPr>
      <w:r w:rsidRPr="003A132A">
        <w:rPr>
          <w:rFonts w:asciiTheme="minorHAnsi" w:hAnsiTheme="minorHAnsi"/>
          <w:sz w:val="16"/>
          <w:szCs w:val="16"/>
        </w:rPr>
        <w:t>„2.13. f pont: A kvázi vállalatok ugyanúgy vezetik a számlák teljes sorozatát és ugyanúgy működnek, mint a vállalatok. A tulajdonosaikhoz való tényleges viszonyuk megfelel a vállalatok és a részvényeseik között fennálló viszonynak.”</w:t>
      </w:r>
    </w:p>
    <w:p w:rsidR="003F28E6" w:rsidRPr="003A132A" w:rsidRDefault="003F28E6" w:rsidP="003F28E6">
      <w:pPr>
        <w:pStyle w:val="Listafolytatsa"/>
        <w:spacing w:after="0"/>
        <w:ind w:left="284"/>
        <w:jc w:val="both"/>
        <w:rPr>
          <w:rFonts w:asciiTheme="minorHAnsi" w:hAnsiTheme="minorHAnsi"/>
          <w:sz w:val="16"/>
          <w:szCs w:val="16"/>
        </w:rPr>
      </w:pPr>
    </w:p>
    <w:p w:rsidR="003F28E6" w:rsidRDefault="003F28E6" w:rsidP="003F28E6">
      <w:pPr>
        <w:pStyle w:val="Listafolytatsa"/>
        <w:spacing w:after="0"/>
        <w:ind w:left="426" w:firstLine="1"/>
        <w:jc w:val="both"/>
      </w:pPr>
      <w:r w:rsidRPr="003A132A">
        <w:rPr>
          <w:rFonts w:asciiTheme="minorHAnsi" w:hAnsiTheme="minorHAnsi"/>
          <w:sz w:val="16"/>
          <w:szCs w:val="16"/>
        </w:rPr>
        <w:t xml:space="preserve">Összefoglalóan a kvázi vállalkozások olyan gazdasági szereplők, amely hasonló módon működnek, mint a normál vállalatok, de valamilyen formai dologban eltérnek tőlük. A formai eltérés ellenére normál vállalatként kell kezelni őket. A kvázi vállalkozás tartozhat a pénzügyi vagy a nem-pénzügyi vállalatok szektorába a főtevékenységétől függően. Magyarországon a jogi személyiséggel nem rendelkező gazdasági társaságokat (bt., </w:t>
      </w:r>
      <w:proofErr w:type="spellStart"/>
      <w:r w:rsidRPr="003A132A">
        <w:rPr>
          <w:rFonts w:asciiTheme="minorHAnsi" w:hAnsiTheme="minorHAnsi"/>
          <w:sz w:val="16"/>
          <w:szCs w:val="16"/>
        </w:rPr>
        <w:t>kkt.</w:t>
      </w:r>
      <w:proofErr w:type="spellEnd"/>
      <w:r w:rsidRPr="003A132A">
        <w:rPr>
          <w:rFonts w:asciiTheme="minorHAnsi" w:hAnsiTheme="minorHAnsi"/>
          <w:sz w:val="16"/>
          <w:szCs w:val="16"/>
        </w:rPr>
        <w:t>) szokták kvázi vállalatként emlegetni. De olyan vállalatként működő gazdasági egységek is ide tartozhatnak, amelyek például nincsenek benne a cégnyilvántartásban. Tipikus kvázi vállalat a társasház, vagy a külföldi vállalat magyarországi fióktelepe.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1492079"/>
    <w:multiLevelType w:val="hybridMultilevel"/>
    <w:tmpl w:val="0B5C3182"/>
    <w:lvl w:ilvl="0" w:tplc="F528AC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98EC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C9877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AC86F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16647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79211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9A2C5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D061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9F698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C45180"/>
    <w:multiLevelType w:val="hybridMultilevel"/>
    <w:tmpl w:val="5C34AF8E"/>
    <w:lvl w:ilvl="0" w:tplc="60BC8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8E6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5CF7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16"/>
    <w:rsid w:val="002B78E0"/>
    <w:rsid w:val="002C728F"/>
    <w:rsid w:val="002C7AB8"/>
    <w:rsid w:val="002C7D4D"/>
    <w:rsid w:val="002C7DD0"/>
    <w:rsid w:val="002D5E55"/>
    <w:rsid w:val="002D6822"/>
    <w:rsid w:val="002F34ED"/>
    <w:rsid w:val="002F602F"/>
    <w:rsid w:val="00300EE3"/>
    <w:rsid w:val="00302136"/>
    <w:rsid w:val="00313246"/>
    <w:rsid w:val="003231ED"/>
    <w:rsid w:val="00327A74"/>
    <w:rsid w:val="00336D46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28E6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4C56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7651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5B75"/>
    <w:rsid w:val="007D67A3"/>
    <w:rsid w:val="007D7E92"/>
    <w:rsid w:val="007E0286"/>
    <w:rsid w:val="007E5ECB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94ECD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1052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58F4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5B76"/>
    <w:rsid w:val="00C31F64"/>
    <w:rsid w:val="00C43AC5"/>
    <w:rsid w:val="00C522BD"/>
    <w:rsid w:val="00C63F2A"/>
    <w:rsid w:val="00C64F11"/>
    <w:rsid w:val="00C76093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301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732"/>
    <w:rsid w:val="00F96EEB"/>
    <w:rsid w:val="00F96F8A"/>
    <w:rsid w:val="00F9761F"/>
    <w:rsid w:val="00FA102C"/>
    <w:rsid w:val="00FA57FD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2524C-5C29-4F97-9F4F-A5186A1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5B75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7D5B75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7D5B75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7D5B75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7D5B75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7D5B75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D5B75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5B7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5B7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5B7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7D5B7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D5B75"/>
  </w:style>
  <w:style w:type="table" w:customStyle="1" w:styleId="tblzat-mtrix">
    <w:name w:val="táblázat - mátrix"/>
    <w:basedOn w:val="Normltblzat"/>
    <w:uiPriority w:val="2"/>
    <w:qFormat/>
    <w:rsid w:val="007D5B75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7D5B75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7D5B75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7D5B7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D5B75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D5B7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5B7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7D5B75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5B7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7D5B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B75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semiHidden/>
    <w:unhideWhenUsed/>
    <w:rsid w:val="007D5B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D5B75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7D5B75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7D5B75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7D5B75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7D5B75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7D5B75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7D5B75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7D5B75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7D5B75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7D5B75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D5B75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5B7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5B75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5B7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7D5B7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7D5B75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7D5B75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7D5B75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7D5B75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7D5B75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D5B75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7D5B7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7D5B75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7D5B75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D5B75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D5B75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7D5B75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7D5B75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7D5B7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7D5B75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7D5B75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7D5B75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7D5B7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7D5B7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7D5B75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7D5B75"/>
    <w:pPr>
      <w:numPr>
        <w:ilvl w:val="2"/>
        <w:numId w:val="1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7D5B75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7D5B75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7D5B7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7D5B75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7D5B75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7D5B75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7D5B75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7D5B75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7D5B7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7D5B75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7D5B75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D5B75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7D5B75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7D5B75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7D5B7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7D5B75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7D5B75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D5B7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7D5B7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7D5B75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7D5B75"/>
    <w:rPr>
      <w:b/>
      <w:bCs/>
    </w:rPr>
  </w:style>
  <w:style w:type="character" w:styleId="Kiemels">
    <w:name w:val="Emphasis"/>
    <w:basedOn w:val="Bekezdsalapbettpusa"/>
    <w:uiPriority w:val="6"/>
    <w:qFormat/>
    <w:rsid w:val="007D5B75"/>
    <w:rPr>
      <w:i/>
      <w:iCs/>
    </w:rPr>
  </w:style>
  <w:style w:type="paragraph" w:styleId="Nincstrkz">
    <w:name w:val="No Spacing"/>
    <w:basedOn w:val="Norml"/>
    <w:uiPriority w:val="1"/>
    <w:rsid w:val="007D5B7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7D5B7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D5B75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7D5B7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5B75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7D5B7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7D5B7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D5B75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D5B75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28E6"/>
    <w:rPr>
      <w:vertAlign w:val="superscript"/>
    </w:rPr>
  </w:style>
  <w:style w:type="paragraph" w:styleId="Lista">
    <w:name w:val="List"/>
    <w:basedOn w:val="Norml"/>
    <w:uiPriority w:val="99"/>
    <w:unhideWhenUsed/>
    <w:rsid w:val="003F28E6"/>
    <w:pPr>
      <w:spacing w:after="0" w:line="240" w:lineRule="auto"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Listafolytatsa">
    <w:name w:val="List Continue"/>
    <w:basedOn w:val="Norml"/>
    <w:uiPriority w:val="99"/>
    <w:unhideWhenUsed/>
    <w:rsid w:val="003F28E6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ENBoxtitle">
    <w:name w:val="EN_Box_title"/>
    <w:basedOn w:val="Norml"/>
    <w:next w:val="Norml"/>
    <w:uiPriority w:val="1"/>
    <w:qFormat/>
    <w:rsid w:val="007D5B75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7D5B75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7D5B75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7D5B75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7D5B75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7D5B75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7D5B75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7D5B75"/>
  </w:style>
  <w:style w:type="paragraph" w:customStyle="1" w:styleId="ENNormalBox">
    <w:name w:val="EN_Normal_Box"/>
    <w:basedOn w:val="Norml"/>
    <w:uiPriority w:val="1"/>
    <w:qFormat/>
    <w:rsid w:val="007D5B75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7D5B75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7D5B75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7D5B75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7D5B75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7D5B75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D5B75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7D5B75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7D5B75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7D5B75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7D5B75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7D5B75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7D5B75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7D5B75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7D5B75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7D5B75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7D5B75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7D5B75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7D5B75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7D5B75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7D5B75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7D5B75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7D5B75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7D5B75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7D5B75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.europa.eu/documents/10180/710487/JEGR_Manual_2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D18E3FB-9136-4029-9451-663CB70C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552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Csilla</dc:creator>
  <cp:lastModifiedBy>MNB</cp:lastModifiedBy>
  <cp:revision>12</cp:revision>
  <cp:lastPrinted>2014-07-29T13:14:00Z</cp:lastPrinted>
  <dcterms:created xsi:type="dcterms:W3CDTF">2014-07-28T07:35:00Z</dcterms:created>
  <dcterms:modified xsi:type="dcterms:W3CDTF">2019-01-07T14:08:00Z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2019-01-07T14:59:08.7345833+01:00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